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00" w:lineRule="exact"/>
        <w:ind w:left="-142" w:leftChars="-59" w:right="-144" w:firstLine="0" w:firstLineChars="0"/>
        <w:jc w:val="center"/>
        <w:outlineLvl w:val="0"/>
        <w:rPr>
          <w:rFonts w:ascii="Times New Roman" w:hAnsi="Times New Roman" w:eastAsiaTheme="minorEastAsia"/>
          <w:b/>
          <w:color w:val="000000"/>
          <w:sz w:val="32"/>
          <w:szCs w:val="32"/>
        </w:rPr>
      </w:pPr>
      <w:r>
        <w:rPr>
          <w:rFonts w:hint="default" w:ascii="Times New Roman" w:hAnsi="Times New Roman" w:eastAsiaTheme="minorEastAsia"/>
          <w:b/>
          <w:color w:val="000000"/>
          <w:sz w:val="32"/>
          <w:szCs w:val="32"/>
        </w:rPr>
        <w:t>杭州恒正医源生物科技有限公司建设项目</w:t>
      </w:r>
    </w:p>
    <w:p>
      <w:pPr>
        <w:pStyle w:val="20"/>
        <w:spacing w:line="500" w:lineRule="exact"/>
        <w:ind w:left="-142" w:leftChars="-59" w:right="-144" w:firstLine="0" w:firstLineChars="0"/>
        <w:jc w:val="center"/>
        <w:outlineLvl w:val="0"/>
        <w:rPr>
          <w:rFonts w:hint="default" w:ascii="Times New Roman" w:hAnsi="Times New Roman" w:eastAsiaTheme="minorEastAsia"/>
          <w:b/>
          <w:color w:val="000000"/>
          <w:sz w:val="32"/>
          <w:szCs w:val="32"/>
        </w:rPr>
      </w:pPr>
      <w:r>
        <w:rPr>
          <w:rFonts w:hint="default" w:ascii="Times New Roman" w:hAnsi="Times New Roman" w:eastAsiaTheme="minorEastAsia"/>
          <w:b/>
          <w:color w:val="000000"/>
          <w:sz w:val="32"/>
          <w:szCs w:val="32"/>
        </w:rPr>
        <w:t>竣工环境保护验收意见</w:t>
      </w:r>
    </w:p>
    <w:p>
      <w:pPr>
        <w:shd w:val="clear" w:color="auto" w:fill="FFFFFF"/>
        <w:topLinePunct/>
        <w:spacing w:before="312" w:beforeLines="100" w:line="460" w:lineRule="exact"/>
        <w:ind w:firstLine="480"/>
        <w:jc w:val="both"/>
        <w:rPr>
          <w:rFonts w:ascii="Times New Roman" w:hAnsi="Times New Roman"/>
          <w:color w:val="000000"/>
        </w:rPr>
      </w:pPr>
      <w:r>
        <w:rPr>
          <w:rFonts w:ascii="Times New Roman" w:hAnsi="Times New Roman"/>
          <w:color w:val="000000"/>
        </w:rPr>
        <w:t>20</w:t>
      </w:r>
      <w:r>
        <w:rPr>
          <w:rFonts w:hint="eastAsia" w:ascii="Times New Roman" w:hAnsi="Times New Roman"/>
          <w:color w:val="000000"/>
        </w:rPr>
        <w:t>22</w:t>
      </w:r>
      <w:r>
        <w:rPr>
          <w:rFonts w:ascii="Times New Roman" w:hAnsi="Times New Roman"/>
          <w:color w:val="000000"/>
        </w:rPr>
        <w:t>年</w:t>
      </w:r>
      <w:r>
        <w:rPr>
          <w:rFonts w:hint="eastAsia" w:ascii="Times New Roman" w:hAnsi="Times New Roman"/>
          <w:color w:val="000000"/>
        </w:rPr>
        <w:t>4</w:t>
      </w:r>
      <w:r>
        <w:rPr>
          <w:rFonts w:ascii="Times New Roman" w:hAnsi="Times New Roman"/>
          <w:color w:val="000000"/>
        </w:rPr>
        <w:t>月</w:t>
      </w:r>
      <w:r>
        <w:rPr>
          <w:rFonts w:hint="eastAsia" w:ascii="Times New Roman" w:hAnsi="Times New Roman"/>
          <w:color w:val="000000"/>
        </w:rPr>
        <w:t>2</w:t>
      </w:r>
      <w:r>
        <w:rPr>
          <w:rFonts w:hint="eastAsia" w:ascii="Times New Roman" w:hAnsi="Times New Roman"/>
          <w:color w:val="000000"/>
          <w:lang w:val="en-US" w:eastAsia="zh-CN"/>
        </w:rPr>
        <w:t>1</w:t>
      </w:r>
      <w:r>
        <w:rPr>
          <w:rFonts w:ascii="Times New Roman" w:hAnsi="Times New Roman"/>
          <w:color w:val="000000"/>
        </w:rPr>
        <w:t>日，建设单位</w:t>
      </w:r>
      <w:r>
        <w:rPr>
          <w:rFonts w:hint="eastAsia" w:ascii="Times New Roman" w:hAnsi="Times New Roman"/>
          <w:color w:val="000000"/>
        </w:rPr>
        <w:t>杭州恒正医源生物科技有限公司</w:t>
      </w:r>
      <w:r>
        <w:rPr>
          <w:rFonts w:ascii="Times New Roman" w:hAnsi="Times New Roman"/>
          <w:color w:val="000000"/>
        </w:rPr>
        <w:t>根据《</w:t>
      </w:r>
      <w:r>
        <w:rPr>
          <w:rFonts w:hint="eastAsia" w:ascii="Times New Roman" w:hAnsi="Times New Roman"/>
          <w:color w:val="000000"/>
        </w:rPr>
        <w:t>杭州恒正医源生物科技有限公司建设项目竣工环境保护验收监测报告</w:t>
      </w:r>
      <w:r>
        <w:rPr>
          <w:rFonts w:ascii="Times New Roman" w:hAnsi="Times New Roman"/>
          <w:color w:val="000000"/>
        </w:rPr>
        <w:t>》并对照《建设项目竣工环境保护验收暂行办法》，严格依照国家有关法律法规、建设项目竣工环境保护验收技术指南、本项目环境影响</w:t>
      </w:r>
      <w:r>
        <w:rPr>
          <w:rFonts w:hint="eastAsia" w:ascii="Times New Roman" w:hAnsi="Times New Roman"/>
          <w:color w:val="000000"/>
        </w:rPr>
        <w:t>报告</w:t>
      </w:r>
      <w:r>
        <w:rPr>
          <w:rFonts w:ascii="Times New Roman" w:hAnsi="Times New Roman"/>
          <w:color w:val="000000"/>
        </w:rPr>
        <w:t>和环评</w:t>
      </w:r>
      <w:r>
        <w:rPr>
          <w:rFonts w:hint="eastAsia" w:ascii="Times New Roman" w:hAnsi="Times New Roman"/>
          <w:color w:val="000000"/>
        </w:rPr>
        <w:t>批复</w:t>
      </w:r>
      <w:r>
        <w:rPr>
          <w:rFonts w:ascii="Times New Roman" w:hAnsi="Times New Roman"/>
          <w:color w:val="000000"/>
        </w:rPr>
        <w:t>等要求对本项目进行</w:t>
      </w:r>
      <w:r>
        <w:rPr>
          <w:rFonts w:hint="eastAsia" w:ascii="Times New Roman" w:hAnsi="Times New Roman"/>
          <w:color w:val="000000"/>
        </w:rPr>
        <w:t>竣工环境保护</w:t>
      </w:r>
      <w:r>
        <w:rPr>
          <w:rFonts w:ascii="Times New Roman" w:hAnsi="Times New Roman"/>
          <w:color w:val="000000"/>
        </w:rPr>
        <w:t>验收，提出意见如下：</w:t>
      </w:r>
    </w:p>
    <w:p>
      <w:pPr>
        <w:pStyle w:val="20"/>
        <w:topLinePunct/>
        <w:adjustRightInd w:val="0"/>
        <w:spacing w:line="460" w:lineRule="exact"/>
        <w:ind w:firstLine="482"/>
        <w:outlineLvl w:val="0"/>
        <w:rPr>
          <w:rFonts w:hint="default" w:ascii="Times New Roman" w:hAnsi="Times New Roman"/>
          <w:b/>
          <w:color w:val="000000"/>
        </w:rPr>
      </w:pPr>
      <w:r>
        <w:rPr>
          <w:rFonts w:hint="default" w:ascii="Times New Roman" w:hAnsi="Times New Roman"/>
          <w:b/>
          <w:color w:val="000000"/>
        </w:rPr>
        <w:t>一、工程建设基本情况</w:t>
      </w:r>
    </w:p>
    <w:p>
      <w:pPr>
        <w:shd w:val="clear" w:color="auto" w:fill="FFFFFF"/>
        <w:topLinePunct/>
        <w:spacing w:line="460" w:lineRule="exact"/>
        <w:ind w:firstLine="480"/>
        <w:rPr>
          <w:rFonts w:ascii="Times New Roman" w:hAnsi="Times New Roman"/>
          <w:color w:val="000000"/>
        </w:rPr>
      </w:pPr>
      <w:r>
        <w:rPr>
          <w:rFonts w:ascii="Times New Roman" w:hAnsi="Times New Roman"/>
          <w:color w:val="000000"/>
        </w:rPr>
        <w:t>（一）建设地点、规模、主要建设内容</w:t>
      </w:r>
    </w:p>
    <w:p>
      <w:pPr>
        <w:spacing w:line="460" w:lineRule="exact"/>
        <w:ind w:firstLine="480"/>
        <w:rPr>
          <w:rFonts w:hint="eastAsia" w:ascii="Times New Roman" w:hAnsi="Times New Roman"/>
          <w:color w:val="000000"/>
          <w:szCs w:val="24"/>
          <w:shd w:val="clear" w:color="auto" w:fill="FFFFFF"/>
        </w:rPr>
      </w:pPr>
      <w:r>
        <w:rPr>
          <w:rFonts w:hint="eastAsia" w:ascii="Times New Roman" w:hAnsi="Times New Roman"/>
          <w:color w:val="000000"/>
          <w:szCs w:val="24"/>
          <w:shd w:val="clear" w:color="auto" w:fill="FFFFFF"/>
        </w:rPr>
        <w:t>杭州恒正医源生物科技有限公司成立于2020年9月15日，位于萧山区新街街道新盛村，租赁杭州萧山许圣福实业有限公司所属的工业厂房，租赁面积约1305m</w:t>
      </w:r>
      <w:r>
        <w:rPr>
          <w:rFonts w:hint="eastAsia" w:ascii="Times New Roman" w:hAnsi="Times New Roman"/>
          <w:color w:val="000000"/>
          <w:szCs w:val="24"/>
          <w:shd w:val="clear" w:color="auto" w:fill="FFFFFF"/>
          <w:vertAlign w:val="superscript"/>
        </w:rPr>
        <w:t>2</w:t>
      </w:r>
      <w:r>
        <w:rPr>
          <w:rFonts w:hint="eastAsia" w:ascii="Times New Roman" w:hAnsi="Times New Roman"/>
          <w:color w:val="000000"/>
          <w:szCs w:val="24"/>
          <w:shd w:val="clear" w:color="auto" w:fill="FFFFFF"/>
        </w:rPr>
        <w:t>，主要购买磁力搅拌器、纯水制水机、超声波清洗机等设备，从事牛心包膜处理，规模为年处理牛心包膜40000片。</w:t>
      </w:r>
    </w:p>
    <w:p>
      <w:pPr>
        <w:shd w:val="clear" w:color="auto" w:fill="FFFFFF"/>
        <w:topLinePunct/>
        <w:spacing w:line="460" w:lineRule="exact"/>
        <w:ind w:firstLine="480"/>
        <w:rPr>
          <w:rFonts w:ascii="Times New Roman" w:hAnsi="Times New Roman"/>
          <w:color w:val="000000"/>
          <w:szCs w:val="24"/>
          <w:shd w:val="clear" w:color="auto" w:fill="FFFFFF"/>
        </w:rPr>
      </w:pPr>
      <w:r>
        <w:rPr>
          <w:rFonts w:ascii="Times New Roman" w:hAnsi="Times New Roman"/>
          <w:color w:val="000000"/>
          <w:szCs w:val="24"/>
          <w:shd w:val="clear" w:color="auto" w:fill="FFFFFF"/>
        </w:rPr>
        <w:t>（二）建设过程及环保审批情况</w:t>
      </w:r>
    </w:p>
    <w:p>
      <w:pPr>
        <w:spacing w:line="460" w:lineRule="exact"/>
        <w:ind w:firstLine="480"/>
        <w:jc w:val="both"/>
        <w:rPr>
          <w:rFonts w:ascii="Times New Roman" w:hAnsi="Times New Roman"/>
        </w:rPr>
      </w:pPr>
      <w:r>
        <w:rPr>
          <w:rFonts w:hint="eastAsia" w:ascii="Times New Roman" w:hAnsi="Times New Roman"/>
          <w:color w:val="000000"/>
          <w:szCs w:val="24"/>
          <w:shd w:val="clear" w:color="auto" w:fill="FFFFFF"/>
        </w:rPr>
        <w:t>企业于2021年9月委托浙江凯阳生态环境有限公司编制了《杭州恒正医源生物科技有限公司建设项目环境影响报告表》，并于2021年9月通过杭州市生态环境局萧山分局审批（萧环建[2021]234号），审批内容为：年处理牛心包膜40000片</w:t>
      </w:r>
      <w:r>
        <w:rPr>
          <w:rFonts w:ascii="Times New Roman" w:hAnsi="Times New Roman"/>
          <w:color w:val="000000"/>
          <w:szCs w:val="24"/>
        </w:rPr>
        <w:t>。</w:t>
      </w:r>
    </w:p>
    <w:p>
      <w:pPr>
        <w:topLinePunct/>
        <w:spacing w:line="460" w:lineRule="exact"/>
        <w:ind w:firstLine="480"/>
        <w:jc w:val="both"/>
        <w:rPr>
          <w:rFonts w:ascii="Times New Roman" w:hAnsi="Times New Roman"/>
          <w:color w:val="000000"/>
          <w:szCs w:val="24"/>
          <w:highlight w:val="none"/>
          <w:shd w:val="clear" w:color="auto" w:fill="FFFFFF"/>
        </w:rPr>
      </w:pPr>
      <w:r>
        <w:rPr>
          <w:rFonts w:hint="eastAsia" w:ascii="Times New Roman" w:hAnsi="Times New Roman"/>
          <w:color w:val="000000"/>
          <w:szCs w:val="24"/>
          <w:highlight w:val="none"/>
          <w:shd w:val="clear" w:color="auto" w:fill="FFFFFF"/>
        </w:rPr>
        <w:t>本项目于2</w:t>
      </w:r>
      <w:r>
        <w:rPr>
          <w:rFonts w:ascii="Times New Roman" w:hAnsi="Times New Roman"/>
          <w:color w:val="000000"/>
          <w:szCs w:val="24"/>
          <w:highlight w:val="none"/>
          <w:shd w:val="clear" w:color="auto" w:fill="FFFFFF"/>
        </w:rPr>
        <w:t>0</w:t>
      </w:r>
      <w:r>
        <w:rPr>
          <w:rFonts w:hint="eastAsia" w:ascii="Times New Roman" w:hAnsi="Times New Roman"/>
          <w:color w:val="000000"/>
          <w:szCs w:val="24"/>
          <w:highlight w:val="none"/>
          <w:shd w:val="clear" w:color="auto" w:fill="FFFFFF"/>
        </w:rPr>
        <w:t>21年9月开工建设，于12月底完成项目建设</w:t>
      </w:r>
      <w:r>
        <w:rPr>
          <w:rFonts w:hint="eastAsia" w:ascii="Times New Roman" w:hAnsi="Times New Roman"/>
          <w:color w:val="000000"/>
          <w:szCs w:val="24"/>
          <w:highlight w:val="none"/>
          <w:shd w:val="clear" w:color="auto" w:fill="FFFFFF"/>
          <w:lang w:eastAsia="zh-CN"/>
        </w:rPr>
        <w:t>，</w:t>
      </w:r>
      <w:r>
        <w:rPr>
          <w:rFonts w:hint="eastAsia" w:ascii="Times New Roman" w:hAnsi="Times New Roman"/>
          <w:color w:val="000000"/>
          <w:szCs w:val="24"/>
          <w:highlight w:val="none"/>
          <w:shd w:val="clear" w:color="auto" w:fill="FFFFFF"/>
        </w:rPr>
        <w:t>企业于202</w:t>
      </w:r>
      <w:r>
        <w:rPr>
          <w:rFonts w:ascii="Times New Roman" w:hAnsi="Times New Roman"/>
          <w:color w:val="000000"/>
          <w:szCs w:val="24"/>
          <w:highlight w:val="none"/>
          <w:shd w:val="clear" w:color="auto" w:fill="FFFFFF"/>
        </w:rPr>
        <w:t>2</w:t>
      </w:r>
      <w:r>
        <w:rPr>
          <w:rFonts w:hint="eastAsia" w:ascii="Times New Roman" w:hAnsi="Times New Roman"/>
          <w:color w:val="000000"/>
          <w:szCs w:val="24"/>
          <w:highlight w:val="none"/>
          <w:shd w:val="clear" w:color="auto" w:fill="FFFFFF"/>
        </w:rPr>
        <w:t>年</w:t>
      </w:r>
      <w:r>
        <w:rPr>
          <w:rFonts w:ascii="Times New Roman" w:hAnsi="Times New Roman"/>
          <w:color w:val="000000"/>
          <w:szCs w:val="24"/>
          <w:highlight w:val="none"/>
          <w:shd w:val="clear" w:color="auto" w:fill="FFFFFF"/>
        </w:rPr>
        <w:t>4</w:t>
      </w:r>
      <w:r>
        <w:rPr>
          <w:rFonts w:hint="eastAsia" w:ascii="Times New Roman" w:hAnsi="Times New Roman"/>
          <w:color w:val="000000"/>
          <w:szCs w:val="24"/>
          <w:highlight w:val="none"/>
          <w:shd w:val="clear" w:color="auto" w:fill="FFFFFF"/>
        </w:rPr>
        <w:t>月在全国排污许可证管理信息平台进行了排污许可登记</w:t>
      </w:r>
      <w:r>
        <w:rPr>
          <w:rFonts w:hint="eastAsia" w:ascii="Times New Roman" w:hAnsi="Times New Roman"/>
          <w:color w:val="000000"/>
          <w:szCs w:val="24"/>
          <w:highlight w:val="none"/>
          <w:shd w:val="clear" w:color="auto" w:fill="FFFFFF"/>
          <w:lang w:eastAsia="zh-CN"/>
        </w:rPr>
        <w:t>。</w:t>
      </w:r>
      <w:r>
        <w:rPr>
          <w:rFonts w:ascii="Times New Roman" w:hAnsi="Times New Roman"/>
          <w:color w:val="000000"/>
          <w:szCs w:val="24"/>
          <w:highlight w:val="none"/>
          <w:shd w:val="clear" w:color="auto" w:fill="FFFFFF"/>
        </w:rPr>
        <w:t xml:space="preserve">   </w:t>
      </w:r>
    </w:p>
    <w:p>
      <w:pPr>
        <w:topLinePunct/>
        <w:spacing w:line="460" w:lineRule="exact"/>
        <w:ind w:firstLine="480"/>
        <w:jc w:val="both"/>
        <w:rPr>
          <w:rFonts w:ascii="Times New Roman" w:hAnsi="Times New Roman"/>
          <w:color w:val="000000"/>
          <w:szCs w:val="24"/>
        </w:rPr>
      </w:pPr>
      <w:r>
        <w:rPr>
          <w:rFonts w:ascii="Times New Roman" w:hAnsi="Times New Roman"/>
          <w:color w:val="000000"/>
          <w:szCs w:val="24"/>
        </w:rPr>
        <w:t>（三）投资情况</w:t>
      </w:r>
    </w:p>
    <w:p>
      <w:pPr>
        <w:topLinePunct/>
        <w:spacing w:line="460" w:lineRule="exact"/>
        <w:ind w:firstLine="480"/>
        <w:jc w:val="both"/>
        <w:rPr>
          <w:rFonts w:ascii="Times New Roman" w:hAnsi="Times New Roman"/>
          <w:color w:val="000000" w:themeColor="text1"/>
          <w:kern w:val="2"/>
          <w14:textFill>
            <w14:solidFill>
              <w14:schemeClr w14:val="tx1"/>
            </w14:solidFill>
          </w14:textFill>
        </w:rPr>
      </w:pPr>
      <w:r>
        <w:rPr>
          <w:rFonts w:ascii="Times New Roman" w:hAnsi="Times New Roman"/>
          <w:kern w:val="2"/>
        </w:rPr>
        <w:t>工程实际总投资</w:t>
      </w:r>
      <w:r>
        <w:rPr>
          <w:rFonts w:hint="eastAsia" w:ascii="Times New Roman" w:hAnsi="Times New Roman"/>
          <w:color w:val="000000" w:themeColor="text1"/>
          <w:kern w:val="2"/>
          <w14:textFill>
            <w14:solidFill>
              <w14:schemeClr w14:val="tx1"/>
            </w14:solidFill>
          </w14:textFill>
        </w:rPr>
        <w:t>800</w:t>
      </w:r>
      <w:r>
        <w:rPr>
          <w:rFonts w:ascii="Times New Roman" w:hAnsi="Times New Roman"/>
          <w:color w:val="000000" w:themeColor="text1"/>
          <w:kern w:val="2"/>
          <w14:textFill>
            <w14:solidFill>
              <w14:schemeClr w14:val="tx1"/>
            </w14:solidFill>
          </w14:textFill>
        </w:rPr>
        <w:t>万元，其中环保投资</w:t>
      </w:r>
      <w:r>
        <w:rPr>
          <w:rFonts w:hint="eastAsia" w:ascii="Times New Roman" w:hAnsi="Times New Roman"/>
          <w:color w:val="000000" w:themeColor="text1"/>
          <w:kern w:val="2"/>
          <w14:textFill>
            <w14:solidFill>
              <w14:schemeClr w14:val="tx1"/>
            </w14:solidFill>
          </w14:textFill>
        </w:rPr>
        <w:t>16.5</w:t>
      </w:r>
      <w:r>
        <w:rPr>
          <w:rFonts w:ascii="Times New Roman" w:hAnsi="Times New Roman"/>
          <w:color w:val="000000" w:themeColor="text1"/>
          <w:kern w:val="2"/>
          <w14:textFill>
            <w14:solidFill>
              <w14:schemeClr w14:val="tx1"/>
            </w14:solidFill>
          </w14:textFill>
        </w:rPr>
        <w:t>万元，占</w:t>
      </w:r>
      <w:r>
        <w:rPr>
          <w:rFonts w:hint="eastAsia" w:ascii="Times New Roman" w:hAnsi="Times New Roman"/>
          <w:color w:val="000000" w:themeColor="text1"/>
          <w:kern w:val="2"/>
          <w14:textFill>
            <w14:solidFill>
              <w14:schemeClr w14:val="tx1"/>
            </w14:solidFill>
          </w14:textFill>
        </w:rPr>
        <w:t>2.1</w:t>
      </w:r>
      <w:r>
        <w:rPr>
          <w:rFonts w:ascii="Times New Roman" w:hAnsi="Times New Roman"/>
          <w:color w:val="000000" w:themeColor="text1"/>
          <w:kern w:val="2"/>
          <w14:textFill>
            <w14:solidFill>
              <w14:schemeClr w14:val="tx1"/>
            </w14:solidFill>
          </w14:textFill>
        </w:rPr>
        <w:t>%。</w:t>
      </w:r>
    </w:p>
    <w:p>
      <w:pPr>
        <w:shd w:val="clear" w:color="auto" w:fill="FFFFFF"/>
        <w:topLinePunct/>
        <w:spacing w:line="460" w:lineRule="exact"/>
        <w:ind w:firstLine="480"/>
        <w:jc w:val="both"/>
        <w:rPr>
          <w:rFonts w:ascii="Times New Roman" w:hAnsi="Times New Roman"/>
          <w:color w:val="000000"/>
        </w:rPr>
      </w:pPr>
      <w:r>
        <w:rPr>
          <w:rFonts w:ascii="Times New Roman" w:hAnsi="Times New Roman"/>
          <w:color w:val="000000"/>
        </w:rPr>
        <w:t>（四）验收范围</w:t>
      </w:r>
    </w:p>
    <w:p>
      <w:pPr>
        <w:spacing w:line="460" w:lineRule="exact"/>
        <w:ind w:firstLine="480"/>
        <w:jc w:val="both"/>
        <w:rPr>
          <w:rFonts w:ascii="Times New Roman" w:hAnsi="Times New Roman"/>
        </w:rPr>
      </w:pPr>
      <w:r>
        <w:rPr>
          <w:rFonts w:hint="eastAsia" w:ascii="Times New Roman" w:hAnsi="Times New Roman"/>
          <w:kern w:val="2"/>
          <w:szCs w:val="24"/>
        </w:rPr>
        <w:t>本项目验收范围为</w:t>
      </w:r>
      <w:r>
        <w:rPr>
          <w:rFonts w:hint="eastAsia" w:ascii="Times New Roman" w:hAnsi="Times New Roman"/>
          <w:shd w:val="clear" w:color="auto" w:fill="FFFFFF"/>
        </w:rPr>
        <w:t>杭州市生态环境局萧山分局</w:t>
      </w:r>
      <w:r>
        <w:rPr>
          <w:rFonts w:hint="eastAsia" w:ascii="Times New Roman" w:hAnsi="Times New Roman"/>
          <w:color w:val="000000"/>
          <w:szCs w:val="24"/>
          <w:shd w:val="clear" w:color="auto" w:fill="FFFFFF"/>
        </w:rPr>
        <w:t>审批的“萧环建[2021]234号”文</w:t>
      </w:r>
      <w:r>
        <w:rPr>
          <w:rFonts w:hint="eastAsia" w:ascii="Times New Roman" w:hAnsi="Times New Roman"/>
          <w:kern w:val="2"/>
          <w:szCs w:val="24"/>
        </w:rPr>
        <w:t>项目，即杭州恒正医源生物科技有限公司建设项目</w:t>
      </w:r>
      <w:r>
        <w:rPr>
          <w:rFonts w:hint="eastAsia" w:ascii="Times New Roman" w:hAnsi="Times New Roman"/>
          <w:color w:val="000000"/>
          <w:szCs w:val="24"/>
          <w:shd w:val="clear" w:color="auto" w:fill="FFFFFF"/>
        </w:rPr>
        <w:t>。</w:t>
      </w:r>
    </w:p>
    <w:p>
      <w:pPr>
        <w:pStyle w:val="20"/>
        <w:topLinePunct/>
        <w:adjustRightInd w:val="0"/>
        <w:spacing w:line="460" w:lineRule="exact"/>
        <w:ind w:firstLine="482"/>
        <w:jc w:val="both"/>
        <w:outlineLvl w:val="0"/>
        <w:rPr>
          <w:rFonts w:hint="default" w:ascii="Times New Roman" w:hAnsi="Times New Roman"/>
          <w:b/>
          <w:color w:val="000000"/>
        </w:rPr>
      </w:pPr>
      <w:r>
        <w:rPr>
          <w:rFonts w:hint="default" w:ascii="Times New Roman" w:hAnsi="Times New Roman"/>
          <w:b/>
          <w:color w:val="000000"/>
        </w:rPr>
        <w:t>二、工程变动情况</w:t>
      </w:r>
    </w:p>
    <w:p>
      <w:pPr>
        <w:topLinePunct/>
        <w:spacing w:line="460" w:lineRule="exact"/>
        <w:ind w:firstLine="480"/>
        <w:jc w:val="both"/>
        <w:rPr>
          <w:rFonts w:ascii="Times New Roman" w:hAnsi="Times New Roman"/>
          <w:color w:val="000000"/>
          <w:szCs w:val="24"/>
          <w:shd w:val="clear" w:color="auto" w:fill="FFFFFF"/>
        </w:rPr>
      </w:pPr>
      <w:r>
        <w:rPr>
          <w:rFonts w:hint="eastAsia" w:ascii="Times New Roman" w:hAnsi="Times New Roman"/>
          <w:color w:val="000000"/>
          <w:szCs w:val="24"/>
          <w:shd w:val="clear" w:color="auto" w:fill="FFFFFF"/>
        </w:rPr>
        <w:t>根据项目建设内容和原审批情况</w:t>
      </w:r>
      <w:r>
        <w:rPr>
          <w:rFonts w:ascii="Times New Roman" w:hAnsi="Times New Roman"/>
          <w:color w:val="000000"/>
          <w:szCs w:val="24"/>
          <w:shd w:val="clear" w:color="auto" w:fill="FFFFFF"/>
        </w:rPr>
        <w:t>及《污染影响类建设项目重大变动清单（试行）》对照，项目</w:t>
      </w:r>
      <w:r>
        <w:rPr>
          <w:rFonts w:hint="eastAsia" w:ascii="Times New Roman" w:hAnsi="Times New Roman"/>
          <w:color w:val="000000"/>
          <w:szCs w:val="24"/>
          <w:shd w:val="clear" w:color="auto" w:fill="FFFFFF"/>
        </w:rPr>
        <w:t>性质、生产规模、建设地点、生产工艺和环保措施</w:t>
      </w:r>
      <w:r>
        <w:rPr>
          <w:rFonts w:ascii="Times New Roman" w:hAnsi="Times New Roman"/>
          <w:color w:val="000000"/>
          <w:szCs w:val="24"/>
          <w:shd w:val="clear" w:color="auto" w:fill="FFFFFF"/>
        </w:rPr>
        <w:t>等与原审批环评报告和批复基本一致</w:t>
      </w:r>
      <w:r>
        <w:rPr>
          <w:rFonts w:hint="eastAsia" w:ascii="Times New Roman" w:hAnsi="Times New Roman"/>
          <w:color w:val="000000"/>
          <w:szCs w:val="24"/>
          <w:shd w:val="clear" w:color="auto" w:fill="FFFFFF"/>
        </w:rPr>
        <w:t>，无工程变动。</w:t>
      </w:r>
    </w:p>
    <w:p>
      <w:pPr>
        <w:topLinePunct/>
        <w:spacing w:line="460" w:lineRule="exact"/>
        <w:ind w:firstLine="482"/>
        <w:jc w:val="both"/>
        <w:outlineLvl w:val="0"/>
        <w:rPr>
          <w:rFonts w:ascii="Times New Roman" w:hAnsi="Times New Roman"/>
          <w:b/>
          <w:color w:val="000000"/>
          <w:szCs w:val="24"/>
        </w:rPr>
      </w:pPr>
      <w:r>
        <w:rPr>
          <w:rFonts w:ascii="Times New Roman" w:hAnsi="Times New Roman"/>
          <w:b/>
          <w:color w:val="000000"/>
          <w:szCs w:val="24"/>
        </w:rPr>
        <w:t>三、环境保护设施建设情况</w:t>
      </w:r>
    </w:p>
    <w:p>
      <w:pPr>
        <w:widowControl w:val="0"/>
        <w:autoSpaceDE w:val="0"/>
        <w:autoSpaceDN w:val="0"/>
        <w:adjustRightInd/>
        <w:snapToGrid/>
        <w:spacing w:line="460" w:lineRule="exact"/>
        <w:ind w:firstLine="480"/>
        <w:jc w:val="both"/>
        <w:rPr>
          <w:rFonts w:ascii="Times New Roman" w:hAnsi="Times New Roman"/>
          <w:color w:val="000000"/>
          <w:szCs w:val="24"/>
        </w:rPr>
      </w:pPr>
      <w:r>
        <w:rPr>
          <w:rFonts w:ascii="Times New Roman" w:hAnsi="Times New Roman"/>
          <w:color w:val="000000"/>
          <w:szCs w:val="24"/>
        </w:rPr>
        <w:t>（一）废水</w:t>
      </w:r>
    </w:p>
    <w:p>
      <w:pPr>
        <w:widowControl w:val="0"/>
        <w:autoSpaceDE w:val="0"/>
        <w:autoSpaceDN w:val="0"/>
        <w:adjustRightInd/>
        <w:snapToGrid/>
        <w:spacing w:line="460" w:lineRule="exact"/>
        <w:ind w:firstLine="480"/>
        <w:jc w:val="both"/>
        <w:rPr>
          <w:rFonts w:hint="eastAsia"/>
          <w:bCs/>
          <w:color w:val="000000"/>
        </w:rPr>
      </w:pPr>
      <w:r>
        <w:rPr>
          <w:rFonts w:hint="eastAsia"/>
          <w:bCs/>
          <w:color w:val="000000"/>
        </w:rPr>
        <w:t>本项目主要为生活污水、生产废液（含实验废液、器皿清洗水）、纯水制备废水。</w:t>
      </w:r>
    </w:p>
    <w:p>
      <w:pPr>
        <w:widowControl w:val="0"/>
        <w:autoSpaceDE w:val="0"/>
        <w:autoSpaceDN w:val="0"/>
        <w:adjustRightInd/>
        <w:snapToGrid/>
        <w:spacing w:line="460" w:lineRule="exact"/>
        <w:ind w:firstLine="480"/>
        <w:jc w:val="both"/>
        <w:rPr>
          <w:rFonts w:ascii="Times New Roman" w:hAnsi="Times New Roman"/>
        </w:rPr>
      </w:pPr>
      <w:r>
        <w:rPr>
          <w:rFonts w:hint="eastAsia"/>
          <w:bCs/>
          <w:color w:val="000000"/>
        </w:rPr>
        <w:t>职工生活产生的生活污水经化粪池预处理处理后和纯水机制备纯水产生的纯水制备废水一并纳管排放；生产过程和实验过程产生的废液以及器皿清洗产生的废水一并收集后委托杭州临江环境能源有限公司处置</w:t>
      </w:r>
      <w:r>
        <w:rPr>
          <w:rFonts w:ascii="Times New Roman" w:hAnsi="Times New Roman"/>
        </w:rPr>
        <w:t>。</w:t>
      </w:r>
    </w:p>
    <w:p>
      <w:pPr>
        <w:widowControl w:val="0"/>
        <w:autoSpaceDE w:val="0"/>
        <w:autoSpaceDN w:val="0"/>
        <w:adjustRightInd/>
        <w:snapToGrid/>
        <w:spacing w:line="460" w:lineRule="exact"/>
        <w:ind w:firstLine="480"/>
        <w:jc w:val="both"/>
        <w:rPr>
          <w:rFonts w:ascii="Times New Roman" w:hAnsi="Times New Roman"/>
          <w:color w:val="000000"/>
          <w:szCs w:val="24"/>
        </w:rPr>
      </w:pPr>
      <w:r>
        <w:rPr>
          <w:rFonts w:ascii="Times New Roman" w:hAnsi="Times New Roman"/>
          <w:color w:val="000000"/>
          <w:szCs w:val="24"/>
        </w:rPr>
        <w:t>（二）废气</w:t>
      </w:r>
    </w:p>
    <w:p>
      <w:pPr>
        <w:widowControl w:val="0"/>
        <w:autoSpaceDE w:val="0"/>
        <w:autoSpaceDN w:val="0"/>
        <w:adjustRightInd/>
        <w:snapToGrid/>
        <w:spacing w:line="460" w:lineRule="exact"/>
        <w:ind w:firstLine="480"/>
        <w:jc w:val="both"/>
        <w:rPr>
          <w:rFonts w:hint="eastAsia" w:ascii="Times New Roman" w:hAnsi="Times New Roman"/>
          <w:bCs/>
          <w:color w:val="000000"/>
        </w:rPr>
      </w:pPr>
      <w:r>
        <w:rPr>
          <w:rFonts w:hint="eastAsia" w:ascii="Times New Roman" w:hAnsi="Times New Roman"/>
          <w:bCs/>
          <w:color w:val="000000"/>
        </w:rPr>
        <w:t>本项目产生的废气主要为实验及生产过程中的少量有机废气。</w:t>
      </w:r>
    </w:p>
    <w:p>
      <w:pPr>
        <w:widowControl w:val="0"/>
        <w:autoSpaceDE w:val="0"/>
        <w:autoSpaceDN w:val="0"/>
        <w:adjustRightInd/>
        <w:snapToGrid/>
        <w:spacing w:line="460" w:lineRule="exact"/>
        <w:ind w:firstLine="480"/>
        <w:jc w:val="both"/>
        <w:rPr>
          <w:rFonts w:ascii="Times New Roman" w:hAnsi="Times New Roman"/>
          <w:bCs/>
          <w:color w:val="000000"/>
        </w:rPr>
      </w:pPr>
      <w:r>
        <w:rPr>
          <w:rFonts w:hint="eastAsia" w:ascii="Times New Roman" w:hAnsi="Times New Roman"/>
          <w:bCs/>
          <w:color w:val="000000"/>
        </w:rPr>
        <w:t>本项目实验及生产过程产生的有机废气经收集，通过活性炭吸附处理装置达标后经15m管道高空排放。</w:t>
      </w:r>
    </w:p>
    <w:p>
      <w:pPr>
        <w:widowControl w:val="0"/>
        <w:autoSpaceDE w:val="0"/>
        <w:autoSpaceDN w:val="0"/>
        <w:adjustRightInd/>
        <w:snapToGrid/>
        <w:spacing w:line="460" w:lineRule="exact"/>
        <w:ind w:firstLine="480"/>
        <w:jc w:val="both"/>
        <w:rPr>
          <w:rFonts w:ascii="Times New Roman" w:hAnsi="Times New Roman"/>
        </w:rPr>
      </w:pPr>
      <w:r>
        <w:rPr>
          <w:rFonts w:hint="eastAsia" w:ascii="Times New Roman" w:hAnsi="Times New Roman"/>
        </w:rPr>
        <w:t>（三）噪声</w:t>
      </w:r>
    </w:p>
    <w:p>
      <w:pPr>
        <w:widowControl w:val="0"/>
        <w:autoSpaceDE w:val="0"/>
        <w:autoSpaceDN w:val="0"/>
        <w:adjustRightInd/>
        <w:snapToGrid/>
        <w:spacing w:line="460" w:lineRule="exact"/>
        <w:ind w:firstLine="480"/>
        <w:jc w:val="both"/>
        <w:rPr>
          <w:rFonts w:hint="eastAsia"/>
        </w:rPr>
      </w:pPr>
      <w:r>
        <w:rPr>
          <w:rFonts w:hint="eastAsia"/>
        </w:rPr>
        <w:t>企业产生的噪声主要为通风橱、空调机组运行等生产设备工作产生的机械噪声。</w:t>
      </w:r>
    </w:p>
    <w:p>
      <w:pPr>
        <w:widowControl w:val="0"/>
        <w:autoSpaceDE w:val="0"/>
        <w:autoSpaceDN w:val="0"/>
        <w:adjustRightInd/>
        <w:snapToGrid/>
        <w:spacing w:line="460" w:lineRule="exact"/>
        <w:ind w:firstLine="480"/>
        <w:jc w:val="both"/>
      </w:pPr>
      <w:r>
        <w:rPr>
          <w:rFonts w:hint="eastAsia"/>
        </w:rPr>
        <w:t>企业通过选用低噪声设备、车间合理布局、设备定期维护保养、减少人为噪声以及生产过程中关闭车间门窗等方式来达到降噪效果。</w:t>
      </w:r>
    </w:p>
    <w:p>
      <w:pPr>
        <w:widowControl w:val="0"/>
        <w:autoSpaceDE w:val="0"/>
        <w:autoSpaceDN w:val="0"/>
        <w:adjustRightInd/>
        <w:snapToGrid/>
        <w:spacing w:line="460" w:lineRule="exact"/>
        <w:ind w:firstLine="480"/>
        <w:jc w:val="both"/>
        <w:rPr>
          <w:rFonts w:ascii="Times New Roman" w:hAnsi="Times New Roman"/>
          <w:color w:val="000000"/>
          <w:szCs w:val="24"/>
        </w:rPr>
      </w:pPr>
      <w:r>
        <w:rPr>
          <w:rFonts w:hint="eastAsia" w:ascii="Times New Roman" w:hAnsi="Times New Roman"/>
          <w:color w:val="000000"/>
          <w:szCs w:val="24"/>
        </w:rPr>
        <w:t>（四）固废</w:t>
      </w:r>
    </w:p>
    <w:p>
      <w:pPr>
        <w:widowControl w:val="0"/>
        <w:autoSpaceDE w:val="0"/>
        <w:autoSpaceDN w:val="0"/>
        <w:adjustRightInd/>
        <w:snapToGrid/>
        <w:spacing w:line="460" w:lineRule="exact"/>
        <w:ind w:firstLine="480"/>
        <w:jc w:val="both"/>
        <w:rPr>
          <w:rFonts w:ascii="Times New Roman" w:hAnsi="Times New Roman"/>
        </w:rPr>
      </w:pPr>
      <w:bookmarkStart w:id="0" w:name="_Hlk86586224"/>
      <w:r>
        <w:rPr>
          <w:rFonts w:ascii="Times New Roman" w:hAnsi="Times New Roman"/>
        </w:rPr>
        <w:t>本项目产生的固体废弃物主要为生产废液（含实验废液、器皿清洗水）、废试剂瓶、废牛心包膜、废培养基、废活性炭、废反渗透膜、废塑料袋、废纸箱、生活垃圾。</w:t>
      </w:r>
    </w:p>
    <w:p>
      <w:pPr>
        <w:widowControl w:val="0"/>
        <w:autoSpaceDE w:val="0"/>
        <w:autoSpaceDN w:val="0"/>
        <w:adjustRightInd/>
        <w:snapToGrid/>
        <w:spacing w:line="460" w:lineRule="exact"/>
        <w:ind w:firstLine="480"/>
        <w:jc w:val="both"/>
        <w:rPr>
          <w:rFonts w:ascii="Times New Roman" w:hAnsi="Times New Roman"/>
        </w:rPr>
      </w:pPr>
      <w:r>
        <w:rPr>
          <w:rFonts w:ascii="Times New Roman" w:hAnsi="Times New Roman"/>
        </w:rPr>
        <w:t>本项目在生产及实验过程中产生的生产废液（含实验废液、器皿清洗水）、废试剂瓶、废牛心包膜、废塑料袋</w:t>
      </w:r>
      <w:r>
        <w:rPr>
          <w:rFonts w:hint="eastAsia" w:ascii="Times New Roman" w:hAnsi="Times New Roman"/>
          <w:lang w:eastAsia="zh-CN"/>
        </w:rPr>
        <w:t>、</w:t>
      </w:r>
      <w:r>
        <w:rPr>
          <w:rFonts w:hint="eastAsia"/>
        </w:rPr>
        <w:t>废培养基、废活性炭</w:t>
      </w:r>
      <w:r>
        <w:rPr>
          <w:rFonts w:ascii="Times New Roman" w:hAnsi="Times New Roman"/>
        </w:rPr>
        <w:t>收集后委托杭州临江环境能源有限公司处置；废纸箱收集后由物资回收公司回收综合利用；</w:t>
      </w:r>
      <w:r>
        <w:rPr>
          <w:rFonts w:hint="eastAsia" w:ascii="Times New Roman" w:hAnsi="Times New Roman"/>
          <w:lang w:val="en-US" w:eastAsia="zh-CN"/>
        </w:rPr>
        <w:t>纯水制备产生的</w:t>
      </w:r>
      <w:r>
        <w:rPr>
          <w:rFonts w:ascii="Times New Roman" w:hAnsi="Times New Roman"/>
        </w:rPr>
        <w:t>废反渗透膜</w:t>
      </w:r>
      <w:r>
        <w:rPr>
          <w:rFonts w:hint="eastAsia" w:ascii="Times New Roman" w:hAnsi="Times New Roman"/>
          <w:lang w:val="en-US" w:eastAsia="zh-CN"/>
        </w:rPr>
        <w:t>属一般固废，由设备商定期更换处理；</w:t>
      </w:r>
      <w:r>
        <w:rPr>
          <w:rFonts w:ascii="Times New Roman" w:hAnsi="Times New Roman"/>
        </w:rPr>
        <w:t>职工生活产生的生活垃圾收集后委托环卫部门清运处置。</w:t>
      </w:r>
    </w:p>
    <w:p>
      <w:pPr>
        <w:widowControl w:val="0"/>
        <w:autoSpaceDE w:val="0"/>
        <w:autoSpaceDN w:val="0"/>
        <w:adjustRightInd/>
        <w:snapToGrid/>
        <w:spacing w:line="460" w:lineRule="exact"/>
        <w:ind w:firstLine="480"/>
        <w:jc w:val="both"/>
        <w:rPr>
          <w:rFonts w:ascii="Times New Roman" w:hAnsi="Times New Roman"/>
        </w:rPr>
      </w:pPr>
      <w:r>
        <w:rPr>
          <w:rFonts w:ascii="Times New Roman" w:hAnsi="Times New Roman"/>
        </w:rPr>
        <w:t>企业一般固废与危险固废分类存放，已建立危废暂存间，用于存放危险废物，面积约为8m</w:t>
      </w:r>
      <w:r>
        <w:rPr>
          <w:rFonts w:ascii="Times New Roman" w:hAnsi="Times New Roman"/>
          <w:vertAlign w:val="superscript"/>
        </w:rPr>
        <w:t>2</w:t>
      </w:r>
      <w:r>
        <w:rPr>
          <w:rFonts w:ascii="Times New Roman" w:hAnsi="Times New Roman"/>
        </w:rPr>
        <w:t>。</w:t>
      </w:r>
    </w:p>
    <w:bookmarkEnd w:id="0"/>
    <w:p>
      <w:pPr>
        <w:pStyle w:val="20"/>
        <w:topLinePunct/>
        <w:adjustRightInd w:val="0"/>
        <w:spacing w:line="460" w:lineRule="exact"/>
        <w:ind w:firstLine="482"/>
        <w:jc w:val="both"/>
        <w:outlineLvl w:val="0"/>
        <w:rPr>
          <w:rFonts w:hint="default" w:ascii="Times New Roman" w:hAnsi="Times New Roman"/>
          <w:b/>
          <w:color w:val="000000"/>
        </w:rPr>
      </w:pPr>
      <w:r>
        <w:rPr>
          <w:rFonts w:hint="default" w:ascii="Times New Roman" w:hAnsi="Times New Roman"/>
          <w:b/>
          <w:color w:val="000000"/>
        </w:rPr>
        <w:t>四、环境保护设施调试效果</w:t>
      </w:r>
    </w:p>
    <w:p>
      <w:pPr>
        <w:widowControl w:val="0"/>
        <w:autoSpaceDE w:val="0"/>
        <w:autoSpaceDN w:val="0"/>
        <w:adjustRightInd/>
        <w:snapToGrid/>
        <w:spacing w:line="460" w:lineRule="exact"/>
        <w:ind w:firstLine="480"/>
        <w:jc w:val="both"/>
        <w:rPr>
          <w:rFonts w:hint="eastAsia"/>
          <w:bCs/>
        </w:rPr>
      </w:pPr>
      <w:r>
        <w:rPr>
          <w:rFonts w:ascii="Times New Roman" w:hAnsi="Times New Roman"/>
          <w:color w:val="000000"/>
        </w:rPr>
        <w:t>根据</w:t>
      </w:r>
      <w:r>
        <w:rPr>
          <w:rFonts w:ascii="Times New Roman" w:hAnsi="Times New Roman"/>
        </w:rPr>
        <w:t>建设项目</w:t>
      </w:r>
      <w:r>
        <w:rPr>
          <w:rFonts w:ascii="Times New Roman" w:hAnsi="Times New Roman"/>
          <w:color w:val="000000"/>
        </w:rPr>
        <w:t>竣工环境保护验收监测报告，</w:t>
      </w:r>
      <w:r>
        <w:rPr>
          <w:rFonts w:hint="eastAsia"/>
          <w:color w:val="000000"/>
          <w:szCs w:val="24"/>
        </w:rPr>
        <w:t>杭州希科检测技术有限公司</w:t>
      </w:r>
      <w:r>
        <w:rPr>
          <w:rFonts w:hint="eastAsia" w:ascii="Times New Roman" w:hAnsi="Times New Roman"/>
          <w:color w:val="000000"/>
        </w:rPr>
        <w:t>于2022年3月对该项目进行了验收监测，</w:t>
      </w:r>
      <w:r>
        <w:rPr>
          <w:rFonts w:ascii="Times New Roman" w:hAnsi="Times New Roman"/>
          <w:color w:val="000000"/>
        </w:rPr>
        <w:t>项目</w:t>
      </w:r>
      <w:r>
        <w:rPr>
          <w:rFonts w:hint="eastAsia"/>
          <w:bCs/>
        </w:rPr>
        <w:t>监测期间环境保护设施调试效果如下：</w:t>
      </w:r>
    </w:p>
    <w:p>
      <w:pPr>
        <w:pStyle w:val="28"/>
        <w:widowControl w:val="0"/>
        <w:numPr>
          <w:ilvl w:val="0"/>
          <w:numId w:val="1"/>
        </w:numPr>
        <w:autoSpaceDE w:val="0"/>
        <w:autoSpaceDN w:val="0"/>
        <w:adjustRightInd/>
        <w:snapToGrid/>
        <w:spacing w:line="460" w:lineRule="exact"/>
        <w:ind w:firstLineChars="0"/>
        <w:jc w:val="both"/>
        <w:rPr>
          <w:rFonts w:hint="eastAsia"/>
          <w:bCs/>
        </w:rPr>
      </w:pPr>
      <w:r>
        <w:rPr>
          <w:rFonts w:hint="eastAsia"/>
          <w:bCs/>
        </w:rPr>
        <w:t>环保设施去除效率</w:t>
      </w:r>
    </w:p>
    <w:p>
      <w:pPr>
        <w:spacing w:line="460" w:lineRule="exact"/>
        <w:ind w:firstLine="480"/>
        <w:rPr>
          <w:rFonts w:ascii="Times New Roman" w:hAnsi="Times New Roman"/>
        </w:rPr>
      </w:pPr>
      <w:r>
        <w:rPr>
          <w:rFonts w:ascii="Times New Roman" w:hAnsi="Times New Roman"/>
          <w:color w:val="000000"/>
          <w:szCs w:val="24"/>
        </w:rPr>
        <w:t>根据验收监测报告，</w:t>
      </w:r>
      <w:r>
        <w:rPr>
          <w:rFonts w:ascii="Times New Roman" w:hAnsi="Times New Roman"/>
        </w:rPr>
        <w:t>在监测日工况条件下，本项目车间废气处理设施对非甲烷总烃平均去除率为81.6%，实验室废气处理设施对非甲烷总烃平均去除率为82.8%。</w:t>
      </w:r>
    </w:p>
    <w:p>
      <w:pPr>
        <w:widowControl w:val="0"/>
        <w:autoSpaceDE w:val="0"/>
        <w:autoSpaceDN w:val="0"/>
        <w:adjustRightInd/>
        <w:snapToGrid/>
        <w:spacing w:line="460" w:lineRule="exact"/>
        <w:ind w:firstLine="480"/>
        <w:jc w:val="both"/>
        <w:rPr>
          <w:rFonts w:ascii="Times New Roman" w:hAnsi="Times New Roman"/>
          <w:color w:val="000000"/>
        </w:rPr>
      </w:pPr>
      <w:r>
        <w:rPr>
          <w:rFonts w:hint="eastAsia" w:ascii="Times New Roman" w:hAnsi="Times New Roman"/>
          <w:color w:val="000000"/>
        </w:rPr>
        <w:t>（二）污染物排放情况</w:t>
      </w:r>
    </w:p>
    <w:p>
      <w:pPr>
        <w:widowControl w:val="0"/>
        <w:autoSpaceDE w:val="0"/>
        <w:autoSpaceDN w:val="0"/>
        <w:adjustRightInd/>
        <w:snapToGrid/>
        <w:spacing w:line="460" w:lineRule="exact"/>
        <w:ind w:firstLine="480"/>
        <w:jc w:val="both"/>
        <w:rPr>
          <w:rFonts w:ascii="Times New Roman" w:hAnsi="Times New Roman"/>
          <w:color w:val="000000"/>
        </w:rPr>
      </w:pPr>
      <w:r>
        <w:rPr>
          <w:rFonts w:ascii="Times New Roman" w:hAnsi="Times New Roman"/>
          <w:color w:val="000000"/>
        </w:rPr>
        <w:t>1、</w:t>
      </w:r>
      <w:r>
        <w:rPr>
          <w:rFonts w:hint="eastAsia" w:ascii="Times New Roman" w:hAnsi="Times New Roman"/>
          <w:color w:val="000000"/>
        </w:rPr>
        <w:t>废水</w:t>
      </w:r>
    </w:p>
    <w:p>
      <w:pPr>
        <w:widowControl w:val="0"/>
        <w:autoSpaceDE w:val="0"/>
        <w:autoSpaceDN w:val="0"/>
        <w:adjustRightInd/>
        <w:snapToGrid/>
        <w:spacing w:line="460" w:lineRule="exact"/>
        <w:ind w:firstLine="480"/>
        <w:jc w:val="both"/>
        <w:rPr>
          <w:rFonts w:ascii="Times New Roman" w:hAnsi="Times New Roman"/>
          <w:color w:val="000000"/>
          <w:szCs w:val="24"/>
        </w:rPr>
      </w:pPr>
      <w:r>
        <w:rPr>
          <w:rFonts w:hint="eastAsia" w:ascii="Times New Roman" w:hAnsi="Times New Roman"/>
          <w:color w:val="000000"/>
          <w:szCs w:val="24"/>
        </w:rPr>
        <w:t>根据验收监测报告，</w:t>
      </w:r>
      <w:r>
        <w:rPr>
          <w:rFonts w:ascii="Times New Roman" w:hAnsi="Times New Roman"/>
        </w:rPr>
        <w:t>在监测日工况条件下，本项目</w:t>
      </w:r>
      <w:r>
        <w:rPr>
          <w:rFonts w:hint="eastAsia" w:ascii="Times New Roman" w:hAnsi="Times New Roman"/>
        </w:rPr>
        <w:t>废水排放口中pH值范围、化学需氧量、悬浮物排放浓度均符合《污</w:t>
      </w:r>
      <w:bookmarkStart w:id="1" w:name="_GoBack"/>
      <w:bookmarkEnd w:id="1"/>
      <w:r>
        <w:rPr>
          <w:rFonts w:hint="eastAsia" w:ascii="Times New Roman" w:hAnsi="Times New Roman"/>
        </w:rPr>
        <w:t>水综合排放标准》（GB8978-1996）表4三级标准要求；其中，氨氮排放浓度符合《工业企业废水氮、磷污染物间接排放限值》（DB33/887-2013）排放限值要求</w:t>
      </w:r>
      <w:r>
        <w:rPr>
          <w:rFonts w:ascii="Times New Roman" w:hAnsi="Times New Roman"/>
          <w:color w:val="000000"/>
          <w:szCs w:val="24"/>
        </w:rPr>
        <w:t>。</w:t>
      </w:r>
    </w:p>
    <w:p>
      <w:pPr>
        <w:widowControl w:val="0"/>
        <w:autoSpaceDE w:val="0"/>
        <w:autoSpaceDN w:val="0"/>
        <w:adjustRightInd/>
        <w:snapToGrid/>
        <w:spacing w:line="460" w:lineRule="exact"/>
        <w:ind w:firstLine="480"/>
        <w:jc w:val="both"/>
        <w:rPr>
          <w:rFonts w:ascii="Times New Roman" w:hAnsi="Times New Roman"/>
          <w:color w:val="000000"/>
        </w:rPr>
      </w:pPr>
      <w:r>
        <w:rPr>
          <w:rFonts w:hint="eastAsia" w:ascii="Times New Roman" w:hAnsi="Times New Roman"/>
          <w:color w:val="000000"/>
        </w:rPr>
        <w:t>2、废气</w:t>
      </w:r>
    </w:p>
    <w:p>
      <w:pPr>
        <w:spacing w:line="460" w:lineRule="exact"/>
        <w:ind w:firstLine="480"/>
        <w:jc w:val="both"/>
        <w:rPr>
          <w:rFonts w:hint="eastAsia" w:ascii="Times New Roman" w:hAnsi="Times New Roman"/>
        </w:rPr>
      </w:pPr>
      <w:r>
        <w:rPr>
          <w:rFonts w:ascii="Times New Roman" w:hAnsi="Times New Roman"/>
          <w:color w:val="000000"/>
        </w:rPr>
        <w:t>根据验收监测报告，</w:t>
      </w:r>
      <w:r>
        <w:rPr>
          <w:rFonts w:ascii="Times New Roman" w:hAnsi="Times New Roman"/>
        </w:rPr>
        <w:t>在监测日工况条件下，</w:t>
      </w:r>
      <w:r>
        <w:rPr>
          <w:rFonts w:hint="eastAsia" w:ascii="Times New Roman" w:hAnsi="Times New Roman"/>
        </w:rPr>
        <w:t>车间废气处理设施出口中非甲烷总烃和甲醛排放浓度均符合《制药工业大气污染物排放标准》（GB37823-2019）表2标准限值要求。实验室废气处理设施出口中非甲烷总烃和甲醛排放浓度均符合《制药工业大气污染物排放标准》（GB37823-2019）表2标准限值要求。</w:t>
      </w:r>
    </w:p>
    <w:p>
      <w:pPr>
        <w:spacing w:line="460" w:lineRule="exact"/>
        <w:ind w:firstLine="480"/>
        <w:jc w:val="both"/>
        <w:rPr>
          <w:rFonts w:ascii="Times New Roman" w:hAnsi="Times New Roman"/>
        </w:rPr>
      </w:pPr>
      <w:r>
        <w:rPr>
          <w:rFonts w:hint="eastAsia" w:ascii="Times New Roman" w:hAnsi="Times New Roman"/>
        </w:rPr>
        <w:t>无组织废气各监测点中非甲烷总烃排放浓度均符合《大气污染物综合排放标准》（GB16297-1996）中表2“新污染源大气污染物排放限值”中无组织排放监控浓度限值要求；甲醛排放浓度均符合《制药工业大气污染物排放标准》（GB37823-2019）表4标准限值要求。厂内监测点中非甲烷总烃1小时平均排放浓度符合《制药工业大气污染物排放标准》（GB37823-2019）表C.1标准限值要求。</w:t>
      </w:r>
    </w:p>
    <w:p>
      <w:pPr>
        <w:widowControl w:val="0"/>
        <w:autoSpaceDE w:val="0"/>
        <w:autoSpaceDN w:val="0"/>
        <w:adjustRightInd/>
        <w:snapToGrid/>
        <w:spacing w:line="460" w:lineRule="exact"/>
        <w:ind w:firstLine="480"/>
        <w:jc w:val="both"/>
        <w:rPr>
          <w:rFonts w:ascii="Times New Roman" w:hAnsi="Times New Roman"/>
          <w:color w:val="000000"/>
        </w:rPr>
      </w:pPr>
      <w:r>
        <w:rPr>
          <w:rFonts w:hint="eastAsia" w:ascii="Times New Roman" w:hAnsi="Times New Roman"/>
          <w:color w:val="000000"/>
        </w:rPr>
        <w:t>3、噪声</w:t>
      </w:r>
    </w:p>
    <w:p>
      <w:pPr>
        <w:spacing w:line="460" w:lineRule="exact"/>
        <w:ind w:firstLine="480"/>
        <w:jc w:val="both"/>
        <w:rPr>
          <w:rFonts w:ascii="Times New Roman" w:hAnsi="Times New Roman"/>
        </w:rPr>
      </w:pPr>
      <w:r>
        <w:rPr>
          <w:rFonts w:ascii="Times New Roman" w:hAnsi="Times New Roman"/>
        </w:rPr>
        <w:t>根据验收监测报告，在监测日工况条件下，</w:t>
      </w:r>
      <w:r>
        <w:rPr>
          <w:rFonts w:hint="eastAsia" w:ascii="Times New Roman" w:hAnsi="Times New Roman"/>
        </w:rPr>
        <w:t>公司厂界东、厂界北昼间噪声排放均符合《工业企业厂界环境噪声排放标准》（GB 12348-2008）中的2类标准要求（南侧、西侧紧邻其他企业）</w:t>
      </w:r>
      <w:r>
        <w:rPr>
          <w:rFonts w:ascii="Times New Roman" w:hAnsi="Times New Roman"/>
        </w:rPr>
        <w:t>。</w:t>
      </w:r>
    </w:p>
    <w:p>
      <w:pPr>
        <w:widowControl w:val="0"/>
        <w:autoSpaceDE w:val="0"/>
        <w:autoSpaceDN w:val="0"/>
        <w:adjustRightInd/>
        <w:snapToGrid/>
        <w:spacing w:line="460" w:lineRule="exact"/>
        <w:ind w:firstLine="480"/>
        <w:jc w:val="both"/>
        <w:rPr>
          <w:rFonts w:ascii="Times New Roman" w:hAnsi="Times New Roman"/>
          <w:color w:val="000000"/>
        </w:rPr>
      </w:pPr>
      <w:r>
        <w:rPr>
          <w:rFonts w:hint="eastAsia" w:ascii="Times New Roman" w:hAnsi="Times New Roman"/>
          <w:color w:val="000000"/>
        </w:rPr>
        <w:t>4、固废</w:t>
      </w:r>
    </w:p>
    <w:p>
      <w:pPr>
        <w:widowControl w:val="0"/>
        <w:autoSpaceDE w:val="0"/>
        <w:autoSpaceDN w:val="0"/>
        <w:adjustRightInd/>
        <w:snapToGrid/>
        <w:spacing w:line="460" w:lineRule="exact"/>
        <w:ind w:firstLine="480"/>
        <w:jc w:val="both"/>
      </w:pPr>
      <w:r>
        <w:rPr>
          <w:rFonts w:ascii="Times New Roman" w:hAnsi="Times New Roman"/>
        </w:rPr>
        <w:t>根据验收监测报告，</w:t>
      </w:r>
      <w:r>
        <w:rPr>
          <w:rFonts w:hint="eastAsia"/>
        </w:rPr>
        <w:t>本项目在生产及实验过程中产生的生产废液（含实验废液、器皿清洗水）、废试剂瓶、废牛心包膜、废塑料袋</w:t>
      </w:r>
      <w:r>
        <w:rPr>
          <w:rFonts w:hint="eastAsia"/>
          <w:lang w:eastAsia="zh-CN"/>
        </w:rPr>
        <w:t>、</w:t>
      </w:r>
      <w:r>
        <w:rPr>
          <w:rFonts w:hint="eastAsia"/>
        </w:rPr>
        <w:t>废培养基、废活性炭收集后委托杭州临江环境能源有限公司处置；废纸箱收集后由物资回收公司回收综合利用；</w:t>
      </w:r>
      <w:r>
        <w:rPr>
          <w:rFonts w:hint="eastAsia" w:ascii="Times New Roman" w:hAnsi="Times New Roman"/>
          <w:lang w:val="en-US" w:eastAsia="zh-CN"/>
        </w:rPr>
        <w:t>纯水制备产生的</w:t>
      </w:r>
      <w:r>
        <w:rPr>
          <w:rFonts w:ascii="Times New Roman" w:hAnsi="Times New Roman"/>
        </w:rPr>
        <w:t>废反渗透膜</w:t>
      </w:r>
      <w:r>
        <w:rPr>
          <w:rFonts w:hint="eastAsia" w:ascii="Times New Roman" w:hAnsi="Times New Roman"/>
          <w:lang w:val="en-US" w:eastAsia="zh-CN"/>
        </w:rPr>
        <w:t>属一般固废，由设备商定期更换处理；</w:t>
      </w:r>
      <w:r>
        <w:rPr>
          <w:rFonts w:hint="eastAsia"/>
        </w:rPr>
        <w:t>职工生活产生的生活垃圾收集后委托环卫部门清运处置</w:t>
      </w:r>
      <w:r>
        <w:rPr>
          <w:rFonts w:hint="eastAsia" w:ascii="Times New Roman" w:hAnsi="Times New Roman"/>
        </w:rPr>
        <w:t>。</w:t>
      </w:r>
    </w:p>
    <w:p>
      <w:pPr>
        <w:widowControl w:val="0"/>
        <w:autoSpaceDE w:val="0"/>
        <w:autoSpaceDN w:val="0"/>
        <w:adjustRightInd/>
        <w:snapToGrid/>
        <w:spacing w:line="460" w:lineRule="exact"/>
        <w:ind w:firstLine="480"/>
        <w:jc w:val="both"/>
        <w:rPr>
          <w:rFonts w:ascii="Times New Roman" w:hAnsi="Times New Roman"/>
          <w:color w:val="000000"/>
        </w:rPr>
      </w:pPr>
      <w:r>
        <w:rPr>
          <w:rFonts w:hint="eastAsia" w:ascii="Times New Roman" w:hAnsi="Times New Roman"/>
          <w:color w:val="000000"/>
        </w:rPr>
        <w:t>5、污染物</w:t>
      </w:r>
      <w:r>
        <w:rPr>
          <w:rFonts w:ascii="Times New Roman" w:hAnsi="Times New Roman"/>
          <w:color w:val="000000"/>
        </w:rPr>
        <w:t>排污总量</w:t>
      </w:r>
    </w:p>
    <w:p>
      <w:pPr>
        <w:widowControl w:val="0"/>
        <w:autoSpaceDE w:val="0"/>
        <w:autoSpaceDN w:val="0"/>
        <w:adjustRightInd/>
        <w:snapToGrid/>
        <w:spacing w:line="460" w:lineRule="exact"/>
        <w:ind w:firstLine="480"/>
        <w:jc w:val="both"/>
        <w:rPr>
          <w:rFonts w:ascii="Times New Roman" w:hAnsi="Times New Roman"/>
          <w:color w:val="000000"/>
        </w:rPr>
      </w:pPr>
      <w:r>
        <w:rPr>
          <w:rFonts w:ascii="Times New Roman" w:hAnsi="Times New Roman"/>
          <w:color w:val="000000"/>
        </w:rPr>
        <w:t>根据验收监测报告，</w:t>
      </w:r>
      <w:r>
        <w:rPr>
          <w:rFonts w:hint="eastAsia" w:ascii="Times New Roman" w:hAnsi="Times New Roman"/>
          <w:color w:val="000000"/>
        </w:rPr>
        <w:t>经核算本项目VOCs排放量为0.012t/a，符合环评总量控制要求；项目年排水量约98吨，污染物排放量分别为COD</w:t>
      </w:r>
      <w:r>
        <w:rPr>
          <w:rFonts w:hint="eastAsia" w:ascii="Times New Roman" w:hAnsi="Times New Roman"/>
          <w:color w:val="000000"/>
          <w:vertAlign w:val="subscript"/>
        </w:rPr>
        <w:t>Cr</w:t>
      </w:r>
      <w:r>
        <w:rPr>
          <w:rFonts w:hint="eastAsia" w:ascii="Times New Roman" w:hAnsi="Times New Roman"/>
          <w:color w:val="000000"/>
        </w:rPr>
        <w:t xml:space="preserve"> 0.005t/a，NH</w:t>
      </w:r>
      <w:r>
        <w:rPr>
          <w:rFonts w:hint="eastAsia" w:ascii="Times New Roman" w:hAnsi="Times New Roman"/>
          <w:color w:val="000000"/>
          <w:vertAlign w:val="subscript"/>
        </w:rPr>
        <w:t>3</w:t>
      </w:r>
      <w:r>
        <w:rPr>
          <w:rFonts w:hint="eastAsia" w:ascii="Times New Roman" w:hAnsi="Times New Roman"/>
          <w:color w:val="000000"/>
        </w:rPr>
        <w:t>-N 0.0002t/a，均符合环评预估值</w:t>
      </w:r>
      <w:r>
        <w:rPr>
          <w:rFonts w:ascii="Times New Roman" w:hAnsi="Times New Roman"/>
          <w:color w:val="000000"/>
        </w:rPr>
        <w:t>。</w:t>
      </w:r>
    </w:p>
    <w:p>
      <w:pPr>
        <w:pStyle w:val="20"/>
        <w:topLinePunct/>
        <w:spacing w:line="460" w:lineRule="exact"/>
        <w:ind w:firstLine="482"/>
        <w:jc w:val="both"/>
        <w:outlineLvl w:val="0"/>
        <w:rPr>
          <w:rFonts w:hint="default" w:ascii="Times New Roman" w:hAnsi="Times New Roman"/>
          <w:b/>
          <w:color w:val="000000"/>
        </w:rPr>
      </w:pPr>
      <w:r>
        <w:rPr>
          <w:rFonts w:ascii="Times New Roman" w:hAnsi="Times New Roman"/>
          <w:b/>
          <w:color w:val="000000"/>
        </w:rPr>
        <w:t>五、工程</w:t>
      </w:r>
      <w:r>
        <w:rPr>
          <w:rFonts w:hint="default" w:ascii="Times New Roman" w:hAnsi="Times New Roman"/>
          <w:b/>
          <w:color w:val="000000"/>
        </w:rPr>
        <w:t>建设对环境的影响</w:t>
      </w:r>
    </w:p>
    <w:p>
      <w:pPr>
        <w:widowControl w:val="0"/>
        <w:autoSpaceDE w:val="0"/>
        <w:autoSpaceDN w:val="0"/>
        <w:adjustRightInd/>
        <w:snapToGrid/>
        <w:spacing w:line="460" w:lineRule="exact"/>
        <w:ind w:firstLine="480"/>
        <w:jc w:val="both"/>
        <w:rPr>
          <w:rFonts w:ascii="Times New Roman" w:hAnsi="Times New Roman"/>
          <w:color w:val="000000"/>
        </w:rPr>
      </w:pPr>
      <w:r>
        <w:rPr>
          <w:rFonts w:ascii="Times New Roman" w:hAnsi="Times New Roman"/>
          <w:color w:val="000000"/>
        </w:rPr>
        <w:t>根据验收监测报告，企业</w:t>
      </w:r>
      <w:r>
        <w:rPr>
          <w:rFonts w:hint="eastAsia" w:ascii="Times New Roman" w:hAnsi="Times New Roman"/>
          <w:color w:val="000000"/>
        </w:rPr>
        <w:t>职工生活污水纳入市政污水管网，项目有组织废气、厂界及厂内无组织监控点废气达标排放，</w:t>
      </w:r>
      <w:r>
        <w:rPr>
          <w:rFonts w:ascii="Times New Roman" w:hAnsi="Times New Roman"/>
          <w:color w:val="000000"/>
        </w:rPr>
        <w:t>厂界噪声达标</w:t>
      </w:r>
      <w:r>
        <w:rPr>
          <w:rFonts w:hint="eastAsia" w:ascii="Times New Roman" w:hAnsi="Times New Roman"/>
          <w:color w:val="000000"/>
        </w:rPr>
        <w:t>，</w:t>
      </w:r>
      <w:r>
        <w:rPr>
          <w:rFonts w:ascii="Times New Roman" w:hAnsi="Times New Roman"/>
          <w:color w:val="000000"/>
        </w:rPr>
        <w:t>固废做到资源化和无害化处理</w:t>
      </w:r>
      <w:r>
        <w:rPr>
          <w:rFonts w:hint="eastAsia" w:ascii="Times New Roman" w:hAnsi="Times New Roman"/>
          <w:color w:val="000000"/>
        </w:rPr>
        <w:t>，</w:t>
      </w:r>
      <w:r>
        <w:rPr>
          <w:rFonts w:ascii="Times New Roman" w:hAnsi="Times New Roman"/>
          <w:color w:val="000000"/>
        </w:rPr>
        <w:t>本项目对周边环境的影响在环评预测分析范围之内。</w:t>
      </w:r>
    </w:p>
    <w:p>
      <w:pPr>
        <w:pStyle w:val="20"/>
        <w:topLinePunct/>
        <w:adjustRightInd w:val="0"/>
        <w:spacing w:line="460" w:lineRule="exact"/>
        <w:ind w:firstLine="482"/>
        <w:jc w:val="both"/>
        <w:outlineLvl w:val="0"/>
        <w:rPr>
          <w:rFonts w:hint="default" w:ascii="Times New Roman" w:hAnsi="Times New Roman"/>
          <w:b/>
          <w:color w:val="000000"/>
        </w:rPr>
      </w:pPr>
      <w:r>
        <w:rPr>
          <w:rFonts w:ascii="Times New Roman" w:hAnsi="Times New Roman"/>
          <w:b/>
          <w:color w:val="000000"/>
        </w:rPr>
        <w:t>六、</w:t>
      </w:r>
      <w:r>
        <w:rPr>
          <w:rFonts w:hint="default" w:ascii="Times New Roman" w:hAnsi="Times New Roman"/>
          <w:b/>
          <w:color w:val="000000"/>
        </w:rPr>
        <w:t>验收结论</w:t>
      </w:r>
    </w:p>
    <w:p>
      <w:pPr>
        <w:widowControl w:val="0"/>
        <w:autoSpaceDE w:val="0"/>
        <w:autoSpaceDN w:val="0"/>
        <w:adjustRightInd/>
        <w:snapToGrid/>
        <w:spacing w:line="460" w:lineRule="exact"/>
        <w:ind w:firstLine="480"/>
        <w:jc w:val="both"/>
        <w:rPr>
          <w:rFonts w:ascii="Times New Roman" w:hAnsi="Times New Roman"/>
          <w:color w:val="000000"/>
        </w:rPr>
      </w:pPr>
      <w:r>
        <w:rPr>
          <w:rFonts w:hint="eastAsia" w:ascii="Times New Roman" w:hAnsi="Times New Roman"/>
          <w:kern w:val="2"/>
        </w:rPr>
        <w:t>杭州恒正医源生物科技有限公司建设项目，</w:t>
      </w:r>
      <w:r>
        <w:rPr>
          <w:rFonts w:ascii="Times New Roman" w:hAnsi="Times New Roman"/>
          <w:kern w:val="2"/>
        </w:rPr>
        <w:t>在</w:t>
      </w:r>
      <w:r>
        <w:rPr>
          <w:rFonts w:ascii="Times New Roman" w:hAnsi="Times New Roman"/>
          <w:color w:val="000000"/>
        </w:rPr>
        <w:t>建设中能执行环保</w:t>
      </w:r>
      <w:r>
        <w:rPr>
          <w:rFonts w:hint="eastAsia" w:ascii="Times New Roman" w:hAnsi="Times New Roman"/>
          <w:color w:val="000000"/>
        </w:rPr>
        <w:t>“</w:t>
      </w:r>
      <w:r>
        <w:rPr>
          <w:rFonts w:ascii="Times New Roman" w:hAnsi="Times New Roman"/>
          <w:color w:val="000000"/>
        </w:rPr>
        <w:t>三同时</w:t>
      </w:r>
      <w:r>
        <w:rPr>
          <w:rFonts w:hint="eastAsia" w:ascii="Times New Roman" w:hAnsi="Times New Roman"/>
          <w:color w:val="000000"/>
        </w:rPr>
        <w:t>”和“排污许可”</w:t>
      </w:r>
      <w:r>
        <w:rPr>
          <w:rFonts w:ascii="Times New Roman" w:hAnsi="Times New Roman"/>
          <w:color w:val="000000"/>
        </w:rPr>
        <w:t>规定，验收资料齐全，环境保护设施基本落实并正常运行，监测结果能达到环评及批复中相关标准要求，按《建设项目竣工环境保护验收暂行办法》中所规定的验收要求，本项目</w:t>
      </w:r>
      <w:r>
        <w:rPr>
          <w:rFonts w:hint="eastAsia" w:ascii="Times New Roman" w:hAnsi="Times New Roman"/>
          <w:color w:val="000000"/>
        </w:rPr>
        <w:t>已建内容</w:t>
      </w:r>
      <w:r>
        <w:rPr>
          <w:rFonts w:ascii="Times New Roman" w:hAnsi="Times New Roman"/>
          <w:color w:val="000000"/>
        </w:rPr>
        <w:t>符合环境保护验收条件，验收工作组同意本项目通过竣工环境保护验收。</w:t>
      </w:r>
    </w:p>
    <w:p>
      <w:pPr>
        <w:pStyle w:val="20"/>
        <w:topLinePunct/>
        <w:adjustRightInd w:val="0"/>
        <w:spacing w:line="460" w:lineRule="exact"/>
        <w:ind w:firstLine="482"/>
        <w:jc w:val="both"/>
        <w:outlineLvl w:val="0"/>
        <w:rPr>
          <w:rFonts w:hint="default" w:ascii="Times New Roman" w:hAnsi="Times New Roman"/>
          <w:b/>
          <w:color w:val="000000"/>
        </w:rPr>
      </w:pPr>
      <w:r>
        <w:rPr>
          <w:rFonts w:ascii="Times New Roman" w:hAnsi="Times New Roman"/>
          <w:b/>
          <w:color w:val="000000"/>
        </w:rPr>
        <w:t>七、</w:t>
      </w:r>
      <w:r>
        <w:rPr>
          <w:rFonts w:hint="default" w:ascii="Times New Roman" w:hAnsi="Times New Roman"/>
          <w:b/>
          <w:color w:val="000000"/>
        </w:rPr>
        <w:t>后续要求</w:t>
      </w:r>
    </w:p>
    <w:p>
      <w:pPr>
        <w:widowControl w:val="0"/>
        <w:autoSpaceDE w:val="0"/>
        <w:autoSpaceDN w:val="0"/>
        <w:adjustRightInd/>
        <w:snapToGrid/>
        <w:spacing w:line="460" w:lineRule="exact"/>
        <w:ind w:firstLine="480"/>
        <w:jc w:val="both"/>
        <w:rPr>
          <w:rFonts w:hint="eastAsia" w:ascii="Times New Roman" w:hAnsi="Times New Roman"/>
          <w:kern w:val="2"/>
          <w:szCs w:val="24"/>
        </w:rPr>
      </w:pPr>
      <w:r>
        <w:rPr>
          <w:rFonts w:hint="eastAsia" w:ascii="Times New Roman" w:hAnsi="Times New Roman"/>
          <w:kern w:val="2"/>
          <w:szCs w:val="24"/>
        </w:rPr>
        <w:t>1、按照《建设项目竣工环境保护验收技术指南 污染影响类》要求，进一步完善验收监测报告内容编制。</w:t>
      </w:r>
    </w:p>
    <w:p>
      <w:pPr>
        <w:widowControl w:val="0"/>
        <w:autoSpaceDE w:val="0"/>
        <w:autoSpaceDN w:val="0"/>
        <w:adjustRightInd/>
        <w:snapToGrid/>
        <w:spacing w:line="460" w:lineRule="exact"/>
        <w:ind w:firstLine="480"/>
        <w:jc w:val="both"/>
        <w:rPr>
          <w:rFonts w:ascii="Times New Roman" w:hAnsi="Times New Roman"/>
          <w:kern w:val="2"/>
          <w:szCs w:val="24"/>
        </w:rPr>
      </w:pPr>
      <w:r>
        <w:rPr>
          <w:rFonts w:hint="eastAsia" w:ascii="Times New Roman" w:hAnsi="Times New Roman"/>
          <w:kern w:val="2"/>
          <w:szCs w:val="24"/>
        </w:rPr>
        <w:t>2、按照规范建设危废贮存场所，完善标识标牌，加强危险废物贮存、转移的规范化管理。</w:t>
      </w:r>
    </w:p>
    <w:p>
      <w:pPr>
        <w:widowControl w:val="0"/>
        <w:autoSpaceDE w:val="0"/>
        <w:autoSpaceDN w:val="0"/>
        <w:adjustRightInd/>
        <w:snapToGrid/>
        <w:spacing w:line="460" w:lineRule="exact"/>
        <w:ind w:firstLine="480"/>
        <w:jc w:val="both"/>
        <w:rPr>
          <w:rFonts w:ascii="Times New Roman" w:hAnsi="Times New Roman"/>
          <w:kern w:val="2"/>
          <w:szCs w:val="24"/>
        </w:rPr>
      </w:pPr>
      <w:r>
        <w:rPr>
          <w:rFonts w:hint="eastAsia" w:ascii="Times New Roman" w:hAnsi="Times New Roman"/>
          <w:kern w:val="2"/>
          <w:szCs w:val="24"/>
        </w:rPr>
        <w:t>3、根据《建设项目竣工环境保护验收暂行办法》，建设单位完善“其他需要说明的事项”等竣工环保验收档案资料，按要求落实验收公示及信息平台申报等相关工作。</w:t>
      </w:r>
    </w:p>
    <w:p>
      <w:pPr>
        <w:widowControl w:val="0"/>
        <w:autoSpaceDE w:val="0"/>
        <w:autoSpaceDN w:val="0"/>
        <w:adjustRightInd/>
        <w:snapToGrid/>
        <w:spacing w:line="460" w:lineRule="exact"/>
        <w:ind w:firstLine="480"/>
        <w:jc w:val="both"/>
        <w:rPr>
          <w:rFonts w:ascii="Times New Roman" w:hAnsi="Times New Roman"/>
          <w:kern w:val="2"/>
          <w:szCs w:val="24"/>
        </w:rPr>
      </w:pPr>
      <w:r>
        <w:rPr>
          <w:rFonts w:hint="eastAsia" w:ascii="Times New Roman" w:hAnsi="Times New Roman"/>
          <w:kern w:val="2"/>
          <w:szCs w:val="24"/>
        </w:rPr>
        <w:t>4</w:t>
      </w:r>
      <w:r>
        <w:rPr>
          <w:rFonts w:ascii="Times New Roman" w:hAnsi="Times New Roman"/>
          <w:kern w:val="2"/>
          <w:szCs w:val="24"/>
        </w:rPr>
        <w:t>、完善环保管理规章制度和环保台账，加强环保处理设施的日常管理和维护，落实专门人员管理，确保各污染物处理设施长期稳定正常运转、污染物达标排放。</w:t>
      </w:r>
    </w:p>
    <w:p>
      <w:pPr>
        <w:pStyle w:val="20"/>
        <w:topLinePunct/>
        <w:adjustRightInd w:val="0"/>
        <w:spacing w:line="460" w:lineRule="exact"/>
        <w:ind w:firstLine="482"/>
        <w:outlineLvl w:val="0"/>
        <w:rPr>
          <w:rFonts w:hint="default" w:ascii="Times New Roman" w:hAnsi="Times New Roman"/>
          <w:b/>
          <w:color w:val="000000"/>
        </w:rPr>
      </w:pPr>
      <w:r>
        <w:rPr>
          <w:rFonts w:ascii="Times New Roman" w:hAnsi="Times New Roman"/>
          <w:b/>
          <w:color w:val="000000"/>
        </w:rPr>
        <w:t>八</w:t>
      </w:r>
      <w:r>
        <w:rPr>
          <w:rFonts w:hint="default" w:ascii="Times New Roman" w:hAnsi="Times New Roman"/>
          <w:b/>
          <w:color w:val="000000"/>
        </w:rPr>
        <w:t>、验收人员信息</w:t>
      </w:r>
    </w:p>
    <w:p>
      <w:pPr>
        <w:widowControl w:val="0"/>
        <w:autoSpaceDE w:val="0"/>
        <w:autoSpaceDN w:val="0"/>
        <w:adjustRightInd/>
        <w:snapToGrid/>
        <w:spacing w:line="460" w:lineRule="exact"/>
        <w:ind w:firstLine="480"/>
        <w:jc w:val="both"/>
        <w:rPr>
          <w:rFonts w:ascii="Times New Roman" w:hAnsi="Times New Roman"/>
          <w:kern w:val="2"/>
          <w:szCs w:val="24"/>
        </w:rPr>
      </w:pPr>
      <w:r>
        <w:rPr>
          <w:rFonts w:hint="eastAsia" w:ascii="Times New Roman" w:hAnsi="Times New Roman"/>
          <w:kern w:val="2"/>
          <w:szCs w:val="24"/>
        </w:rPr>
        <w:t>验收人员信息见附件。</w:t>
      </w:r>
    </w:p>
    <w:p>
      <w:pPr>
        <w:widowControl w:val="0"/>
        <w:autoSpaceDE w:val="0"/>
        <w:autoSpaceDN w:val="0"/>
        <w:adjustRightInd/>
        <w:snapToGrid/>
        <w:spacing w:line="460" w:lineRule="exact"/>
        <w:ind w:firstLine="480"/>
        <w:jc w:val="both"/>
        <w:rPr>
          <w:rFonts w:hint="eastAsia" w:ascii="Times New Roman" w:hAnsi="Times New Roman"/>
          <w:kern w:val="2"/>
          <w:szCs w:val="24"/>
        </w:rPr>
      </w:pPr>
    </w:p>
    <w:p>
      <w:pPr>
        <w:widowControl w:val="0"/>
        <w:autoSpaceDE w:val="0"/>
        <w:autoSpaceDN w:val="0"/>
        <w:adjustRightInd/>
        <w:snapToGrid/>
        <w:spacing w:line="460" w:lineRule="exact"/>
        <w:ind w:firstLine="480"/>
        <w:jc w:val="both"/>
        <w:rPr>
          <w:rFonts w:hint="eastAsia" w:ascii="Times New Roman" w:hAnsi="Times New Roman"/>
          <w:kern w:val="2"/>
          <w:szCs w:val="24"/>
        </w:rPr>
      </w:pPr>
    </w:p>
    <w:p>
      <w:pPr>
        <w:widowControl w:val="0"/>
        <w:autoSpaceDE w:val="0"/>
        <w:autoSpaceDN w:val="0"/>
        <w:adjustRightInd/>
        <w:snapToGrid/>
        <w:spacing w:line="460" w:lineRule="exact"/>
        <w:ind w:firstLine="480"/>
        <w:jc w:val="both"/>
        <w:rPr>
          <w:rFonts w:ascii="Times New Roman" w:hAnsi="Times New Roman"/>
          <w:kern w:val="2"/>
          <w:szCs w:val="24"/>
        </w:rPr>
      </w:pPr>
    </w:p>
    <w:p>
      <w:pPr>
        <w:pStyle w:val="20"/>
        <w:topLinePunct/>
        <w:adjustRightInd w:val="0"/>
        <w:spacing w:line="460" w:lineRule="exact"/>
        <w:ind w:firstLine="480"/>
        <w:jc w:val="right"/>
        <w:outlineLvl w:val="0"/>
        <w:rPr>
          <w:rFonts w:hint="default" w:ascii="Times New Roman" w:hAnsi="Times New Roman"/>
          <w:kern w:val="2"/>
        </w:rPr>
      </w:pPr>
      <w:r>
        <w:rPr>
          <w:rFonts w:ascii="Times New Roman" w:hAnsi="Times New Roman"/>
          <w:kern w:val="2"/>
        </w:rPr>
        <w:t>杭州恒正医源生物科技有限公司</w:t>
      </w:r>
    </w:p>
    <w:p>
      <w:pPr>
        <w:pStyle w:val="20"/>
        <w:topLinePunct/>
        <w:adjustRightInd w:val="0"/>
        <w:spacing w:line="460" w:lineRule="exact"/>
        <w:ind w:firstLine="480"/>
        <w:jc w:val="right"/>
        <w:outlineLvl w:val="0"/>
        <w:rPr>
          <w:rFonts w:hint="default" w:ascii="Times New Roman" w:hAnsi="Times New Roman"/>
          <w:bCs/>
          <w:color w:val="000000"/>
          <w:highlight w:val="yellow"/>
        </w:rPr>
      </w:pPr>
      <w:r>
        <w:rPr>
          <w:rFonts w:hint="default" w:ascii="Times New Roman" w:hAnsi="Times New Roman"/>
          <w:bCs/>
          <w:color w:val="000000"/>
        </w:rPr>
        <w:t>20</w:t>
      </w:r>
      <w:r>
        <w:rPr>
          <w:rFonts w:ascii="Times New Roman" w:hAnsi="Times New Roman"/>
          <w:bCs/>
          <w:color w:val="000000"/>
        </w:rPr>
        <w:t>22</w:t>
      </w:r>
      <w:r>
        <w:rPr>
          <w:rFonts w:hint="default" w:ascii="Times New Roman" w:hAnsi="Times New Roman"/>
          <w:bCs/>
          <w:color w:val="000000"/>
        </w:rPr>
        <w:t>年</w:t>
      </w:r>
      <w:r>
        <w:rPr>
          <w:rFonts w:ascii="Times New Roman" w:hAnsi="Times New Roman"/>
          <w:bCs/>
          <w:color w:val="000000"/>
        </w:rPr>
        <w:t>4</w:t>
      </w:r>
      <w:r>
        <w:rPr>
          <w:rFonts w:hint="default" w:ascii="Times New Roman" w:hAnsi="Times New Roman"/>
          <w:bCs/>
          <w:color w:val="000000"/>
        </w:rPr>
        <w:t>月</w:t>
      </w:r>
      <w:r>
        <w:rPr>
          <w:rFonts w:ascii="Times New Roman" w:hAnsi="Times New Roman"/>
          <w:bCs/>
          <w:color w:val="000000"/>
        </w:rPr>
        <w:t>2</w:t>
      </w:r>
      <w:r>
        <w:rPr>
          <w:rFonts w:hint="eastAsia" w:ascii="Times New Roman" w:hAnsi="Times New Roman"/>
          <w:bCs/>
          <w:color w:val="000000"/>
          <w:lang w:val="en-US" w:eastAsia="zh-CN"/>
        </w:rPr>
        <w:t>1</w:t>
      </w:r>
      <w:r>
        <w:rPr>
          <w:rFonts w:hint="default" w:ascii="Times New Roman" w:hAnsi="Times New Roman"/>
          <w:bCs/>
          <w:color w:val="000000"/>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10" w:usb3="00000000" w:csb0="0006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027780"/>
    </w:sdtPr>
    <w:sdtEndPr>
      <w:rPr>
        <w:rFonts w:ascii="Times New Roman" w:hAnsi="Times New Roman"/>
      </w:rPr>
    </w:sdtEndPr>
    <w:sdtContent>
      <w:p>
        <w:pPr>
          <w:pStyle w:val="13"/>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63B4C"/>
    <w:multiLevelType w:val="multilevel"/>
    <w:tmpl w:val="32B63B4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738BC"/>
    <w:rsid w:val="00004328"/>
    <w:rsid w:val="00004F2F"/>
    <w:rsid w:val="00010288"/>
    <w:rsid w:val="000102CE"/>
    <w:rsid w:val="000128A2"/>
    <w:rsid w:val="00015802"/>
    <w:rsid w:val="0001676E"/>
    <w:rsid w:val="00022F04"/>
    <w:rsid w:val="00024819"/>
    <w:rsid w:val="000272F7"/>
    <w:rsid w:val="00031618"/>
    <w:rsid w:val="00033E1A"/>
    <w:rsid w:val="00034EB4"/>
    <w:rsid w:val="00037343"/>
    <w:rsid w:val="000420B1"/>
    <w:rsid w:val="000453EB"/>
    <w:rsid w:val="00045F9D"/>
    <w:rsid w:val="00045FA9"/>
    <w:rsid w:val="00046355"/>
    <w:rsid w:val="00046803"/>
    <w:rsid w:val="00056273"/>
    <w:rsid w:val="000565E0"/>
    <w:rsid w:val="00060BEA"/>
    <w:rsid w:val="00061F62"/>
    <w:rsid w:val="00067552"/>
    <w:rsid w:val="00067C1F"/>
    <w:rsid w:val="00070612"/>
    <w:rsid w:val="000706F2"/>
    <w:rsid w:val="00072377"/>
    <w:rsid w:val="00080AF6"/>
    <w:rsid w:val="00081089"/>
    <w:rsid w:val="00083B7D"/>
    <w:rsid w:val="00083E1D"/>
    <w:rsid w:val="000941E8"/>
    <w:rsid w:val="00096C3F"/>
    <w:rsid w:val="000A5F5E"/>
    <w:rsid w:val="000A6CBC"/>
    <w:rsid w:val="000B76D7"/>
    <w:rsid w:val="000C0200"/>
    <w:rsid w:val="000C121A"/>
    <w:rsid w:val="000C24B0"/>
    <w:rsid w:val="000D4549"/>
    <w:rsid w:val="000D4CF8"/>
    <w:rsid w:val="000E3374"/>
    <w:rsid w:val="000E3BBB"/>
    <w:rsid w:val="000E5525"/>
    <w:rsid w:val="000E6D9F"/>
    <w:rsid w:val="000F129B"/>
    <w:rsid w:val="000F7CD7"/>
    <w:rsid w:val="00103786"/>
    <w:rsid w:val="001059F1"/>
    <w:rsid w:val="00106787"/>
    <w:rsid w:val="00106C01"/>
    <w:rsid w:val="00111752"/>
    <w:rsid w:val="00123787"/>
    <w:rsid w:val="001237E7"/>
    <w:rsid w:val="00125823"/>
    <w:rsid w:val="00143A22"/>
    <w:rsid w:val="00145714"/>
    <w:rsid w:val="001525A4"/>
    <w:rsid w:val="00154029"/>
    <w:rsid w:val="001602BD"/>
    <w:rsid w:val="001659F6"/>
    <w:rsid w:val="00175DA4"/>
    <w:rsid w:val="001761B5"/>
    <w:rsid w:val="00181E37"/>
    <w:rsid w:val="00185DC4"/>
    <w:rsid w:val="00193B53"/>
    <w:rsid w:val="00194CB4"/>
    <w:rsid w:val="00197BC2"/>
    <w:rsid w:val="001A0115"/>
    <w:rsid w:val="001A26EF"/>
    <w:rsid w:val="001A2786"/>
    <w:rsid w:val="001A34A8"/>
    <w:rsid w:val="001A404A"/>
    <w:rsid w:val="001B23AC"/>
    <w:rsid w:val="001B268F"/>
    <w:rsid w:val="001B7E8B"/>
    <w:rsid w:val="001C08D4"/>
    <w:rsid w:val="001C2A1A"/>
    <w:rsid w:val="001C4968"/>
    <w:rsid w:val="001D1000"/>
    <w:rsid w:val="001D583A"/>
    <w:rsid w:val="001E35CF"/>
    <w:rsid w:val="001E4CFE"/>
    <w:rsid w:val="001E6EA9"/>
    <w:rsid w:val="001F2A57"/>
    <w:rsid w:val="001F61E8"/>
    <w:rsid w:val="001F73AA"/>
    <w:rsid w:val="001F7C40"/>
    <w:rsid w:val="00200627"/>
    <w:rsid w:val="00204128"/>
    <w:rsid w:val="002116C0"/>
    <w:rsid w:val="00214401"/>
    <w:rsid w:val="0021459B"/>
    <w:rsid w:val="00223FFD"/>
    <w:rsid w:val="00225080"/>
    <w:rsid w:val="0022596E"/>
    <w:rsid w:val="00225C4A"/>
    <w:rsid w:val="00226E1B"/>
    <w:rsid w:val="00231D65"/>
    <w:rsid w:val="00236A04"/>
    <w:rsid w:val="00237547"/>
    <w:rsid w:val="00237B8D"/>
    <w:rsid w:val="00240363"/>
    <w:rsid w:val="00244B4A"/>
    <w:rsid w:val="002504A8"/>
    <w:rsid w:val="00251DF1"/>
    <w:rsid w:val="0025311B"/>
    <w:rsid w:val="00263105"/>
    <w:rsid w:val="0026419C"/>
    <w:rsid w:val="0026637D"/>
    <w:rsid w:val="00274046"/>
    <w:rsid w:val="002837C2"/>
    <w:rsid w:val="00285A98"/>
    <w:rsid w:val="00285BD5"/>
    <w:rsid w:val="00290DD0"/>
    <w:rsid w:val="00294657"/>
    <w:rsid w:val="002947BA"/>
    <w:rsid w:val="0029593C"/>
    <w:rsid w:val="002965B7"/>
    <w:rsid w:val="00297697"/>
    <w:rsid w:val="002A1B36"/>
    <w:rsid w:val="002A7084"/>
    <w:rsid w:val="002B0CCB"/>
    <w:rsid w:val="002B19C3"/>
    <w:rsid w:val="002B2A80"/>
    <w:rsid w:val="002B3B86"/>
    <w:rsid w:val="002C038F"/>
    <w:rsid w:val="002C2E5F"/>
    <w:rsid w:val="002C6463"/>
    <w:rsid w:val="002D252E"/>
    <w:rsid w:val="002D3CE2"/>
    <w:rsid w:val="002E409B"/>
    <w:rsid w:val="002F1BDF"/>
    <w:rsid w:val="002F3EE3"/>
    <w:rsid w:val="002F4A19"/>
    <w:rsid w:val="002F5968"/>
    <w:rsid w:val="0030012C"/>
    <w:rsid w:val="0030667B"/>
    <w:rsid w:val="00311752"/>
    <w:rsid w:val="00313E6A"/>
    <w:rsid w:val="003236ED"/>
    <w:rsid w:val="003241E5"/>
    <w:rsid w:val="0032532E"/>
    <w:rsid w:val="0033248B"/>
    <w:rsid w:val="003336AA"/>
    <w:rsid w:val="003356B9"/>
    <w:rsid w:val="00341D13"/>
    <w:rsid w:val="00343A20"/>
    <w:rsid w:val="00347358"/>
    <w:rsid w:val="00353421"/>
    <w:rsid w:val="00357F2F"/>
    <w:rsid w:val="00361781"/>
    <w:rsid w:val="00362BB2"/>
    <w:rsid w:val="00366DF3"/>
    <w:rsid w:val="00370465"/>
    <w:rsid w:val="00380DCA"/>
    <w:rsid w:val="003830CD"/>
    <w:rsid w:val="00383D06"/>
    <w:rsid w:val="00387342"/>
    <w:rsid w:val="0039207C"/>
    <w:rsid w:val="00393A07"/>
    <w:rsid w:val="00395923"/>
    <w:rsid w:val="00396BE3"/>
    <w:rsid w:val="00397BCA"/>
    <w:rsid w:val="003B66CA"/>
    <w:rsid w:val="003C1A1F"/>
    <w:rsid w:val="003C1E1D"/>
    <w:rsid w:val="003C577B"/>
    <w:rsid w:val="003C72A6"/>
    <w:rsid w:val="003C741C"/>
    <w:rsid w:val="003D2011"/>
    <w:rsid w:val="003D205B"/>
    <w:rsid w:val="003D5A42"/>
    <w:rsid w:val="003D64DD"/>
    <w:rsid w:val="003E0828"/>
    <w:rsid w:val="003E1096"/>
    <w:rsid w:val="003E7DB6"/>
    <w:rsid w:val="003F1224"/>
    <w:rsid w:val="003F1C80"/>
    <w:rsid w:val="00410947"/>
    <w:rsid w:val="004126F1"/>
    <w:rsid w:val="004129E8"/>
    <w:rsid w:val="00426D85"/>
    <w:rsid w:val="00427DD5"/>
    <w:rsid w:val="00431886"/>
    <w:rsid w:val="0043410F"/>
    <w:rsid w:val="00444499"/>
    <w:rsid w:val="004452FC"/>
    <w:rsid w:val="00445555"/>
    <w:rsid w:val="00446E05"/>
    <w:rsid w:val="00447AFC"/>
    <w:rsid w:val="00452EE8"/>
    <w:rsid w:val="00454794"/>
    <w:rsid w:val="0045493E"/>
    <w:rsid w:val="004615F2"/>
    <w:rsid w:val="00461BA1"/>
    <w:rsid w:val="00462E34"/>
    <w:rsid w:val="00475B6D"/>
    <w:rsid w:val="00480C97"/>
    <w:rsid w:val="0048181A"/>
    <w:rsid w:val="004822BB"/>
    <w:rsid w:val="00482F1D"/>
    <w:rsid w:val="004849A3"/>
    <w:rsid w:val="00484A90"/>
    <w:rsid w:val="004850A4"/>
    <w:rsid w:val="004A2D34"/>
    <w:rsid w:val="004A3F42"/>
    <w:rsid w:val="004A5FD5"/>
    <w:rsid w:val="004A751D"/>
    <w:rsid w:val="004C0D20"/>
    <w:rsid w:val="004C2045"/>
    <w:rsid w:val="004C4982"/>
    <w:rsid w:val="004C52DD"/>
    <w:rsid w:val="004C5623"/>
    <w:rsid w:val="004D1214"/>
    <w:rsid w:val="004D2447"/>
    <w:rsid w:val="004D7B57"/>
    <w:rsid w:val="004D7F8F"/>
    <w:rsid w:val="004E21BA"/>
    <w:rsid w:val="004E4AF1"/>
    <w:rsid w:val="004F0139"/>
    <w:rsid w:val="004F1A30"/>
    <w:rsid w:val="004F1C23"/>
    <w:rsid w:val="004F309F"/>
    <w:rsid w:val="004F4C7F"/>
    <w:rsid w:val="004F7640"/>
    <w:rsid w:val="00502EDD"/>
    <w:rsid w:val="005056D4"/>
    <w:rsid w:val="005078E5"/>
    <w:rsid w:val="00513141"/>
    <w:rsid w:val="00513AC4"/>
    <w:rsid w:val="0051617F"/>
    <w:rsid w:val="00516D96"/>
    <w:rsid w:val="00517866"/>
    <w:rsid w:val="00524B47"/>
    <w:rsid w:val="00531F5A"/>
    <w:rsid w:val="00535380"/>
    <w:rsid w:val="005427FA"/>
    <w:rsid w:val="00543F10"/>
    <w:rsid w:val="00547F6D"/>
    <w:rsid w:val="005550BF"/>
    <w:rsid w:val="00555BBA"/>
    <w:rsid w:val="00565253"/>
    <w:rsid w:val="00566945"/>
    <w:rsid w:val="00567720"/>
    <w:rsid w:val="0058246C"/>
    <w:rsid w:val="005912E6"/>
    <w:rsid w:val="00592508"/>
    <w:rsid w:val="005933CF"/>
    <w:rsid w:val="00594661"/>
    <w:rsid w:val="0059744F"/>
    <w:rsid w:val="005A520D"/>
    <w:rsid w:val="005A6822"/>
    <w:rsid w:val="005A75DD"/>
    <w:rsid w:val="005A7D96"/>
    <w:rsid w:val="005B1558"/>
    <w:rsid w:val="005B388A"/>
    <w:rsid w:val="005B4BAB"/>
    <w:rsid w:val="005C0516"/>
    <w:rsid w:val="005C1855"/>
    <w:rsid w:val="005C3E5D"/>
    <w:rsid w:val="005C50BD"/>
    <w:rsid w:val="005D6392"/>
    <w:rsid w:val="005D7455"/>
    <w:rsid w:val="005E006F"/>
    <w:rsid w:val="005E55E9"/>
    <w:rsid w:val="005E7902"/>
    <w:rsid w:val="005F29D1"/>
    <w:rsid w:val="005F4FDC"/>
    <w:rsid w:val="005F50DE"/>
    <w:rsid w:val="00603B36"/>
    <w:rsid w:val="00604198"/>
    <w:rsid w:val="0060526C"/>
    <w:rsid w:val="006061C8"/>
    <w:rsid w:val="006101D8"/>
    <w:rsid w:val="00611306"/>
    <w:rsid w:val="00612C1A"/>
    <w:rsid w:val="006240D1"/>
    <w:rsid w:val="006304C1"/>
    <w:rsid w:val="00635CD2"/>
    <w:rsid w:val="00641DAD"/>
    <w:rsid w:val="00641F81"/>
    <w:rsid w:val="006438DB"/>
    <w:rsid w:val="0065797F"/>
    <w:rsid w:val="00657A06"/>
    <w:rsid w:val="00662285"/>
    <w:rsid w:val="00662F2A"/>
    <w:rsid w:val="00663A50"/>
    <w:rsid w:val="006712E5"/>
    <w:rsid w:val="00673FF0"/>
    <w:rsid w:val="0069245C"/>
    <w:rsid w:val="00696FE7"/>
    <w:rsid w:val="006A0D14"/>
    <w:rsid w:val="006A3B97"/>
    <w:rsid w:val="006A7A85"/>
    <w:rsid w:val="006B5D74"/>
    <w:rsid w:val="006C0F25"/>
    <w:rsid w:val="006C703E"/>
    <w:rsid w:val="006D5310"/>
    <w:rsid w:val="006D6E34"/>
    <w:rsid w:val="006E2CA5"/>
    <w:rsid w:val="006E772A"/>
    <w:rsid w:val="006F4571"/>
    <w:rsid w:val="006F7427"/>
    <w:rsid w:val="006F79D3"/>
    <w:rsid w:val="006F7A04"/>
    <w:rsid w:val="00704B92"/>
    <w:rsid w:val="00710C07"/>
    <w:rsid w:val="00720961"/>
    <w:rsid w:val="00724CB7"/>
    <w:rsid w:val="00725C38"/>
    <w:rsid w:val="00731150"/>
    <w:rsid w:val="007365C8"/>
    <w:rsid w:val="007454CD"/>
    <w:rsid w:val="00747BF9"/>
    <w:rsid w:val="00753081"/>
    <w:rsid w:val="007548C8"/>
    <w:rsid w:val="007567D2"/>
    <w:rsid w:val="00762376"/>
    <w:rsid w:val="0076427C"/>
    <w:rsid w:val="00777E89"/>
    <w:rsid w:val="00780059"/>
    <w:rsid w:val="00780B5A"/>
    <w:rsid w:val="00783B26"/>
    <w:rsid w:val="00784FD4"/>
    <w:rsid w:val="007875F6"/>
    <w:rsid w:val="00791B85"/>
    <w:rsid w:val="0079331E"/>
    <w:rsid w:val="007A0041"/>
    <w:rsid w:val="007A4B14"/>
    <w:rsid w:val="007A590B"/>
    <w:rsid w:val="007B2F30"/>
    <w:rsid w:val="007B3C41"/>
    <w:rsid w:val="007B3E35"/>
    <w:rsid w:val="007B65A9"/>
    <w:rsid w:val="007C300B"/>
    <w:rsid w:val="007C4C4C"/>
    <w:rsid w:val="007C5238"/>
    <w:rsid w:val="007D0904"/>
    <w:rsid w:val="007D2696"/>
    <w:rsid w:val="007E14F0"/>
    <w:rsid w:val="007E1A3D"/>
    <w:rsid w:val="007E576C"/>
    <w:rsid w:val="007E76F9"/>
    <w:rsid w:val="007F12D1"/>
    <w:rsid w:val="00807596"/>
    <w:rsid w:val="00820A14"/>
    <w:rsid w:val="0082281D"/>
    <w:rsid w:val="00824B7F"/>
    <w:rsid w:val="00832BA0"/>
    <w:rsid w:val="00835243"/>
    <w:rsid w:val="00840717"/>
    <w:rsid w:val="00840A43"/>
    <w:rsid w:val="00862A1B"/>
    <w:rsid w:val="008638B6"/>
    <w:rsid w:val="008644D4"/>
    <w:rsid w:val="00864BEE"/>
    <w:rsid w:val="00866BDB"/>
    <w:rsid w:val="00871C3C"/>
    <w:rsid w:val="008749C5"/>
    <w:rsid w:val="00877351"/>
    <w:rsid w:val="008802E6"/>
    <w:rsid w:val="008808C4"/>
    <w:rsid w:val="008817AC"/>
    <w:rsid w:val="00882136"/>
    <w:rsid w:val="00882CEA"/>
    <w:rsid w:val="00884416"/>
    <w:rsid w:val="00891397"/>
    <w:rsid w:val="008A671A"/>
    <w:rsid w:val="008A6EE3"/>
    <w:rsid w:val="008B50A4"/>
    <w:rsid w:val="008D39F4"/>
    <w:rsid w:val="008D62F7"/>
    <w:rsid w:val="008E0580"/>
    <w:rsid w:val="008F1215"/>
    <w:rsid w:val="008F191D"/>
    <w:rsid w:val="008F2125"/>
    <w:rsid w:val="008F31C0"/>
    <w:rsid w:val="008F419C"/>
    <w:rsid w:val="008F6801"/>
    <w:rsid w:val="008F7A39"/>
    <w:rsid w:val="0090203A"/>
    <w:rsid w:val="00902ABA"/>
    <w:rsid w:val="00902B55"/>
    <w:rsid w:val="00913DD3"/>
    <w:rsid w:val="00917178"/>
    <w:rsid w:val="009200EC"/>
    <w:rsid w:val="00921089"/>
    <w:rsid w:val="00930F5F"/>
    <w:rsid w:val="009316B1"/>
    <w:rsid w:val="00944047"/>
    <w:rsid w:val="00944705"/>
    <w:rsid w:val="00944EE0"/>
    <w:rsid w:val="00955E43"/>
    <w:rsid w:val="009578AF"/>
    <w:rsid w:val="00961075"/>
    <w:rsid w:val="00963408"/>
    <w:rsid w:val="009639D0"/>
    <w:rsid w:val="0096418C"/>
    <w:rsid w:val="00964B34"/>
    <w:rsid w:val="00965138"/>
    <w:rsid w:val="00965827"/>
    <w:rsid w:val="00967F6F"/>
    <w:rsid w:val="0097073A"/>
    <w:rsid w:val="0097262B"/>
    <w:rsid w:val="00972B8F"/>
    <w:rsid w:val="009741DC"/>
    <w:rsid w:val="00976F5A"/>
    <w:rsid w:val="00980986"/>
    <w:rsid w:val="009822B0"/>
    <w:rsid w:val="009853D5"/>
    <w:rsid w:val="00985DE0"/>
    <w:rsid w:val="00987FE4"/>
    <w:rsid w:val="00990660"/>
    <w:rsid w:val="00995C39"/>
    <w:rsid w:val="009A16E4"/>
    <w:rsid w:val="009B5C46"/>
    <w:rsid w:val="009B5E83"/>
    <w:rsid w:val="009B6533"/>
    <w:rsid w:val="009C10DA"/>
    <w:rsid w:val="009C38D0"/>
    <w:rsid w:val="009C453C"/>
    <w:rsid w:val="009C4E4D"/>
    <w:rsid w:val="009C5C3B"/>
    <w:rsid w:val="009C7BCE"/>
    <w:rsid w:val="009D059F"/>
    <w:rsid w:val="009D1216"/>
    <w:rsid w:val="009D5D60"/>
    <w:rsid w:val="009E5D8E"/>
    <w:rsid w:val="009E7088"/>
    <w:rsid w:val="009E7E2D"/>
    <w:rsid w:val="009F227F"/>
    <w:rsid w:val="009F3C84"/>
    <w:rsid w:val="00A01966"/>
    <w:rsid w:val="00A02E8C"/>
    <w:rsid w:val="00A03CF5"/>
    <w:rsid w:val="00A073A0"/>
    <w:rsid w:val="00A139D4"/>
    <w:rsid w:val="00A15BC1"/>
    <w:rsid w:val="00A201F5"/>
    <w:rsid w:val="00A20DD7"/>
    <w:rsid w:val="00A27A51"/>
    <w:rsid w:val="00A30F5E"/>
    <w:rsid w:val="00A330EF"/>
    <w:rsid w:val="00A36A2E"/>
    <w:rsid w:val="00A44BD2"/>
    <w:rsid w:val="00A52548"/>
    <w:rsid w:val="00A60D4F"/>
    <w:rsid w:val="00A65FBB"/>
    <w:rsid w:val="00A72749"/>
    <w:rsid w:val="00A736A8"/>
    <w:rsid w:val="00A76E90"/>
    <w:rsid w:val="00A77EB7"/>
    <w:rsid w:val="00A8514F"/>
    <w:rsid w:val="00A868EE"/>
    <w:rsid w:val="00A87EF3"/>
    <w:rsid w:val="00A93C84"/>
    <w:rsid w:val="00A968CD"/>
    <w:rsid w:val="00AA0459"/>
    <w:rsid w:val="00AB5990"/>
    <w:rsid w:val="00AB63D0"/>
    <w:rsid w:val="00AC409F"/>
    <w:rsid w:val="00AC6B68"/>
    <w:rsid w:val="00AC7959"/>
    <w:rsid w:val="00AD7286"/>
    <w:rsid w:val="00AE0ACE"/>
    <w:rsid w:val="00AE1865"/>
    <w:rsid w:val="00AE7789"/>
    <w:rsid w:val="00AF0E6D"/>
    <w:rsid w:val="00AF29C6"/>
    <w:rsid w:val="00AF44EE"/>
    <w:rsid w:val="00B03F88"/>
    <w:rsid w:val="00B10103"/>
    <w:rsid w:val="00B13B79"/>
    <w:rsid w:val="00B158FE"/>
    <w:rsid w:val="00B21989"/>
    <w:rsid w:val="00B25694"/>
    <w:rsid w:val="00B2610F"/>
    <w:rsid w:val="00B26CFF"/>
    <w:rsid w:val="00B32130"/>
    <w:rsid w:val="00B52441"/>
    <w:rsid w:val="00B56666"/>
    <w:rsid w:val="00B56708"/>
    <w:rsid w:val="00B60D1D"/>
    <w:rsid w:val="00B61EAF"/>
    <w:rsid w:val="00B62E32"/>
    <w:rsid w:val="00B67924"/>
    <w:rsid w:val="00B72286"/>
    <w:rsid w:val="00B82800"/>
    <w:rsid w:val="00B82A2B"/>
    <w:rsid w:val="00B918AE"/>
    <w:rsid w:val="00B91907"/>
    <w:rsid w:val="00B96784"/>
    <w:rsid w:val="00B9727C"/>
    <w:rsid w:val="00BA2BFC"/>
    <w:rsid w:val="00BA3A28"/>
    <w:rsid w:val="00BA5704"/>
    <w:rsid w:val="00BB0AE2"/>
    <w:rsid w:val="00BB40EF"/>
    <w:rsid w:val="00BB4670"/>
    <w:rsid w:val="00BB476B"/>
    <w:rsid w:val="00BD3961"/>
    <w:rsid w:val="00BD484F"/>
    <w:rsid w:val="00BE06A8"/>
    <w:rsid w:val="00BE2FBC"/>
    <w:rsid w:val="00BE600E"/>
    <w:rsid w:val="00BE6FB5"/>
    <w:rsid w:val="00BF1028"/>
    <w:rsid w:val="00BF6113"/>
    <w:rsid w:val="00BF764F"/>
    <w:rsid w:val="00C00E44"/>
    <w:rsid w:val="00C0130E"/>
    <w:rsid w:val="00C06F62"/>
    <w:rsid w:val="00C072E3"/>
    <w:rsid w:val="00C1060D"/>
    <w:rsid w:val="00C14E93"/>
    <w:rsid w:val="00C151AE"/>
    <w:rsid w:val="00C16AFD"/>
    <w:rsid w:val="00C20AE5"/>
    <w:rsid w:val="00C20D41"/>
    <w:rsid w:val="00C22F4F"/>
    <w:rsid w:val="00C24C10"/>
    <w:rsid w:val="00C31B29"/>
    <w:rsid w:val="00C35219"/>
    <w:rsid w:val="00C42192"/>
    <w:rsid w:val="00C4431F"/>
    <w:rsid w:val="00C55B35"/>
    <w:rsid w:val="00C6006A"/>
    <w:rsid w:val="00C61FCF"/>
    <w:rsid w:val="00C63FB4"/>
    <w:rsid w:val="00C64A83"/>
    <w:rsid w:val="00C66CE4"/>
    <w:rsid w:val="00C701CA"/>
    <w:rsid w:val="00C7318F"/>
    <w:rsid w:val="00C73A49"/>
    <w:rsid w:val="00C75E5D"/>
    <w:rsid w:val="00C76C61"/>
    <w:rsid w:val="00C866B8"/>
    <w:rsid w:val="00C90FA3"/>
    <w:rsid w:val="00C91A0C"/>
    <w:rsid w:val="00C9283A"/>
    <w:rsid w:val="00C96A2C"/>
    <w:rsid w:val="00C96CF2"/>
    <w:rsid w:val="00CA078C"/>
    <w:rsid w:val="00CA14A9"/>
    <w:rsid w:val="00CA74F9"/>
    <w:rsid w:val="00CB0B11"/>
    <w:rsid w:val="00CB20D0"/>
    <w:rsid w:val="00CB2E68"/>
    <w:rsid w:val="00CB6169"/>
    <w:rsid w:val="00CC2BC2"/>
    <w:rsid w:val="00CC4DEE"/>
    <w:rsid w:val="00CD66F1"/>
    <w:rsid w:val="00CF4842"/>
    <w:rsid w:val="00D01009"/>
    <w:rsid w:val="00D0218C"/>
    <w:rsid w:val="00D03DBB"/>
    <w:rsid w:val="00D06B41"/>
    <w:rsid w:val="00D17EF2"/>
    <w:rsid w:val="00D27D5E"/>
    <w:rsid w:val="00D40846"/>
    <w:rsid w:val="00D40E74"/>
    <w:rsid w:val="00D4146E"/>
    <w:rsid w:val="00D44231"/>
    <w:rsid w:val="00D448C6"/>
    <w:rsid w:val="00D44BC0"/>
    <w:rsid w:val="00D45537"/>
    <w:rsid w:val="00D47148"/>
    <w:rsid w:val="00D50E1B"/>
    <w:rsid w:val="00D51A11"/>
    <w:rsid w:val="00D54A4F"/>
    <w:rsid w:val="00D62E18"/>
    <w:rsid w:val="00D63C49"/>
    <w:rsid w:val="00D703A8"/>
    <w:rsid w:val="00D73C1C"/>
    <w:rsid w:val="00D7400D"/>
    <w:rsid w:val="00D80121"/>
    <w:rsid w:val="00D90683"/>
    <w:rsid w:val="00D91B0E"/>
    <w:rsid w:val="00D92ADD"/>
    <w:rsid w:val="00D94050"/>
    <w:rsid w:val="00D94A4C"/>
    <w:rsid w:val="00DA13F1"/>
    <w:rsid w:val="00DA3DE3"/>
    <w:rsid w:val="00DA3F54"/>
    <w:rsid w:val="00DA500F"/>
    <w:rsid w:val="00DA64AF"/>
    <w:rsid w:val="00DB111F"/>
    <w:rsid w:val="00DB239E"/>
    <w:rsid w:val="00DC3A3D"/>
    <w:rsid w:val="00DC7427"/>
    <w:rsid w:val="00DD06AE"/>
    <w:rsid w:val="00DD185F"/>
    <w:rsid w:val="00DD1F79"/>
    <w:rsid w:val="00DD7B68"/>
    <w:rsid w:val="00DD7C47"/>
    <w:rsid w:val="00DE2CA8"/>
    <w:rsid w:val="00DE4893"/>
    <w:rsid w:val="00DE536D"/>
    <w:rsid w:val="00DE634D"/>
    <w:rsid w:val="00DE7615"/>
    <w:rsid w:val="00DF1F51"/>
    <w:rsid w:val="00DF2989"/>
    <w:rsid w:val="00DF2CE9"/>
    <w:rsid w:val="00DF58F1"/>
    <w:rsid w:val="00E04FDE"/>
    <w:rsid w:val="00E10B15"/>
    <w:rsid w:val="00E121A8"/>
    <w:rsid w:val="00E133A7"/>
    <w:rsid w:val="00E22578"/>
    <w:rsid w:val="00E26CF7"/>
    <w:rsid w:val="00E329A9"/>
    <w:rsid w:val="00E37282"/>
    <w:rsid w:val="00E404BC"/>
    <w:rsid w:val="00E40D31"/>
    <w:rsid w:val="00E426B9"/>
    <w:rsid w:val="00E42952"/>
    <w:rsid w:val="00E43A37"/>
    <w:rsid w:val="00E45B82"/>
    <w:rsid w:val="00E463DD"/>
    <w:rsid w:val="00E47B74"/>
    <w:rsid w:val="00E5066D"/>
    <w:rsid w:val="00E55469"/>
    <w:rsid w:val="00E56C47"/>
    <w:rsid w:val="00E60138"/>
    <w:rsid w:val="00E6026B"/>
    <w:rsid w:val="00E6307E"/>
    <w:rsid w:val="00E72773"/>
    <w:rsid w:val="00E741C8"/>
    <w:rsid w:val="00E81C0E"/>
    <w:rsid w:val="00E82359"/>
    <w:rsid w:val="00E86342"/>
    <w:rsid w:val="00E91AF6"/>
    <w:rsid w:val="00EA1A56"/>
    <w:rsid w:val="00EA657B"/>
    <w:rsid w:val="00EA7227"/>
    <w:rsid w:val="00EB0B1F"/>
    <w:rsid w:val="00EB2601"/>
    <w:rsid w:val="00ED1170"/>
    <w:rsid w:val="00ED246E"/>
    <w:rsid w:val="00ED4F6C"/>
    <w:rsid w:val="00EE1499"/>
    <w:rsid w:val="00EE2590"/>
    <w:rsid w:val="00F0040C"/>
    <w:rsid w:val="00F01FB7"/>
    <w:rsid w:val="00F02B34"/>
    <w:rsid w:val="00F02CB5"/>
    <w:rsid w:val="00F05B37"/>
    <w:rsid w:val="00F05D58"/>
    <w:rsid w:val="00F11516"/>
    <w:rsid w:val="00F14C7E"/>
    <w:rsid w:val="00F15FB4"/>
    <w:rsid w:val="00F30510"/>
    <w:rsid w:val="00F3620C"/>
    <w:rsid w:val="00F439BF"/>
    <w:rsid w:val="00F468A2"/>
    <w:rsid w:val="00F4758B"/>
    <w:rsid w:val="00F47843"/>
    <w:rsid w:val="00F523EE"/>
    <w:rsid w:val="00F53A1E"/>
    <w:rsid w:val="00F53A22"/>
    <w:rsid w:val="00F65730"/>
    <w:rsid w:val="00F65876"/>
    <w:rsid w:val="00F75EA3"/>
    <w:rsid w:val="00F818DC"/>
    <w:rsid w:val="00F863F9"/>
    <w:rsid w:val="00F86822"/>
    <w:rsid w:val="00F926BF"/>
    <w:rsid w:val="00FA1C04"/>
    <w:rsid w:val="00FA4F09"/>
    <w:rsid w:val="00FA4F8C"/>
    <w:rsid w:val="00FA557B"/>
    <w:rsid w:val="00FB02F3"/>
    <w:rsid w:val="00FB2757"/>
    <w:rsid w:val="00FB2D8F"/>
    <w:rsid w:val="00FC0E02"/>
    <w:rsid w:val="00FC178F"/>
    <w:rsid w:val="00FC21C1"/>
    <w:rsid w:val="00FD0E00"/>
    <w:rsid w:val="00FD5EAD"/>
    <w:rsid w:val="00FE1216"/>
    <w:rsid w:val="00FE222E"/>
    <w:rsid w:val="00FE2A7A"/>
    <w:rsid w:val="014B4D04"/>
    <w:rsid w:val="04386A26"/>
    <w:rsid w:val="0AEB15F7"/>
    <w:rsid w:val="107E2BDC"/>
    <w:rsid w:val="19077591"/>
    <w:rsid w:val="1F4011FC"/>
    <w:rsid w:val="211738BC"/>
    <w:rsid w:val="241A50CE"/>
    <w:rsid w:val="3B1C5183"/>
    <w:rsid w:val="400F3A6D"/>
    <w:rsid w:val="468713AD"/>
    <w:rsid w:val="46CE3359"/>
    <w:rsid w:val="5127464F"/>
    <w:rsid w:val="57FA21A5"/>
    <w:rsid w:val="57FF17B9"/>
    <w:rsid w:val="5CCB1DCB"/>
    <w:rsid w:val="666B30FE"/>
    <w:rsid w:val="6CEE2E07"/>
    <w:rsid w:val="6E9C6BEE"/>
    <w:rsid w:val="716F5793"/>
    <w:rsid w:val="7AA13009"/>
    <w:rsid w:val="7B7A4DCD"/>
    <w:rsid w:val="7F6E19BD"/>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440" w:lineRule="exact"/>
      <w:ind w:firstLine="560" w:firstLineChars="200"/>
    </w:pPr>
    <w:rPr>
      <w:rFonts w:ascii="Tahoma" w:hAnsi="Tahoma" w:eastAsia="宋体" w:cs="Times New Roman"/>
      <w:sz w:val="24"/>
      <w:szCs w:val="22"/>
      <w:lang w:val="en-US" w:eastAsia="zh-CN" w:bidi="ar-SA"/>
    </w:rPr>
  </w:style>
  <w:style w:type="paragraph" w:styleId="2">
    <w:name w:val="heading 1"/>
    <w:basedOn w:val="1"/>
    <w:next w:val="1"/>
    <w:qFormat/>
    <w:uiPriority w:val="0"/>
    <w:pPr>
      <w:keepNext/>
      <w:keepLines/>
      <w:outlineLvl w:val="0"/>
    </w:pPr>
    <w:rPr>
      <w:rFonts w:ascii="Calibri" w:hAnsi="Calibri" w:eastAsia="黑体"/>
      <w:b/>
      <w:bCs/>
      <w:kern w:val="44"/>
      <w:sz w:val="30"/>
      <w:szCs w:val="44"/>
    </w:rPr>
  </w:style>
  <w:style w:type="paragraph" w:styleId="3">
    <w:name w:val="heading 2"/>
    <w:basedOn w:val="1"/>
    <w:next w:val="1"/>
    <w:unhideWhenUsed/>
    <w:qFormat/>
    <w:uiPriority w:val="0"/>
    <w:pPr>
      <w:keepNext/>
      <w:keepLines/>
      <w:outlineLvl w:val="1"/>
    </w:pPr>
    <w:rPr>
      <w:rFonts w:ascii="Arial" w:hAnsi="Arial" w:eastAsia="黑体"/>
      <w:b/>
      <w:sz w:val="28"/>
    </w:rPr>
  </w:style>
  <w:style w:type="paragraph" w:styleId="4">
    <w:name w:val="heading 3"/>
    <w:basedOn w:val="1"/>
    <w:next w:val="1"/>
    <w:unhideWhenUsed/>
    <w:qFormat/>
    <w:uiPriority w:val="0"/>
    <w:pPr>
      <w:keepNext/>
      <w:keepLines/>
      <w:ind w:left="480" w:leftChars="200"/>
      <w:outlineLvl w:val="2"/>
    </w:pPr>
    <w:rPr>
      <w:rFonts w:ascii="Calibri" w:hAnsi="Calibri"/>
      <w:b/>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link w:val="31"/>
    <w:unhideWhenUsed/>
    <w:qFormat/>
    <w:uiPriority w:val="0"/>
    <w:pPr>
      <w:widowControl w:val="0"/>
      <w:adjustRightInd/>
      <w:snapToGrid/>
      <w:spacing w:line="240" w:lineRule="auto"/>
      <w:ind w:firstLine="420"/>
      <w:jc w:val="both"/>
    </w:pPr>
    <w:rPr>
      <w:rFonts w:ascii="Calibri" w:hAnsi="Calibri"/>
      <w:kern w:val="2"/>
      <w:sz w:val="21"/>
    </w:rPr>
  </w:style>
  <w:style w:type="paragraph" w:styleId="6">
    <w:name w:val="Body Text First Indent 2"/>
    <w:basedOn w:val="7"/>
    <w:link w:val="33"/>
    <w:qFormat/>
    <w:uiPriority w:val="0"/>
    <w:pPr>
      <w:ind w:firstLine="420"/>
    </w:pPr>
  </w:style>
  <w:style w:type="paragraph" w:styleId="7">
    <w:name w:val="Body Text Indent"/>
    <w:basedOn w:val="1"/>
    <w:link w:val="32"/>
    <w:uiPriority w:val="0"/>
    <w:pPr>
      <w:spacing w:after="120"/>
      <w:ind w:left="420" w:leftChars="200"/>
    </w:pPr>
  </w:style>
  <w:style w:type="paragraph" w:styleId="8">
    <w:name w:val="annotation text"/>
    <w:basedOn w:val="1"/>
    <w:link w:val="23"/>
    <w:qFormat/>
    <w:uiPriority w:val="0"/>
  </w:style>
  <w:style w:type="paragraph" w:styleId="9">
    <w:name w:val="Body Text"/>
    <w:basedOn w:val="1"/>
    <w:link w:val="36"/>
    <w:semiHidden/>
    <w:unhideWhenUsed/>
    <w:uiPriority w:val="0"/>
    <w:pPr>
      <w:spacing w:after="120"/>
    </w:pPr>
  </w:style>
  <w:style w:type="paragraph" w:styleId="10">
    <w:name w:val="Plain Text"/>
    <w:basedOn w:val="1"/>
    <w:link w:val="34"/>
    <w:qFormat/>
    <w:uiPriority w:val="0"/>
    <w:pPr>
      <w:widowControl w:val="0"/>
      <w:adjustRightInd/>
      <w:snapToGrid/>
      <w:spacing w:line="240" w:lineRule="auto"/>
      <w:ind w:firstLine="0" w:firstLineChars="0"/>
      <w:jc w:val="both"/>
    </w:pPr>
    <w:rPr>
      <w:rFonts w:ascii="宋体" w:hAnsi="Times New Roman"/>
      <w:kern w:val="2"/>
      <w:sz w:val="21"/>
      <w:szCs w:val="20"/>
    </w:rPr>
  </w:style>
  <w:style w:type="paragraph" w:styleId="11">
    <w:name w:val="Date"/>
    <w:basedOn w:val="1"/>
    <w:next w:val="1"/>
    <w:link w:val="26"/>
    <w:uiPriority w:val="0"/>
    <w:pPr>
      <w:ind w:left="100" w:leftChars="2500"/>
    </w:pPr>
  </w:style>
  <w:style w:type="paragraph" w:styleId="12">
    <w:name w:val="Balloon Text"/>
    <w:basedOn w:val="1"/>
    <w:link w:val="25"/>
    <w:qFormat/>
    <w:uiPriority w:val="0"/>
    <w:pPr>
      <w:spacing w:line="240" w:lineRule="auto"/>
    </w:pPr>
    <w:rPr>
      <w:sz w:val="18"/>
      <w:szCs w:val="18"/>
    </w:rPr>
  </w:style>
  <w:style w:type="paragraph" w:styleId="13">
    <w:name w:val="footer"/>
    <w:basedOn w:val="1"/>
    <w:link w:val="22"/>
    <w:qFormat/>
    <w:uiPriority w:val="99"/>
    <w:pPr>
      <w:tabs>
        <w:tab w:val="center" w:pos="4153"/>
        <w:tab w:val="right" w:pos="8306"/>
      </w:tabs>
      <w:spacing w:line="240" w:lineRule="atLeast"/>
    </w:pPr>
    <w:rPr>
      <w:sz w:val="18"/>
      <w:szCs w:val="18"/>
    </w:rPr>
  </w:style>
  <w:style w:type="paragraph" w:styleId="14">
    <w:name w:val="header"/>
    <w:basedOn w:val="1"/>
    <w:link w:val="21"/>
    <w:qFormat/>
    <w:uiPriority w:val="0"/>
    <w:pPr>
      <w:pBdr>
        <w:bottom w:val="single" w:color="auto" w:sz="6" w:space="1"/>
      </w:pBdr>
      <w:tabs>
        <w:tab w:val="center" w:pos="4153"/>
        <w:tab w:val="right" w:pos="8306"/>
      </w:tabs>
      <w:spacing w:line="240" w:lineRule="atLeast"/>
      <w:jc w:val="center"/>
    </w:pPr>
    <w:rPr>
      <w:sz w:val="18"/>
      <w:szCs w:val="18"/>
    </w:rPr>
  </w:style>
  <w:style w:type="paragraph" w:styleId="15">
    <w:name w:val="annotation subject"/>
    <w:basedOn w:val="8"/>
    <w:next w:val="8"/>
    <w:link w:val="24"/>
    <w:qFormat/>
    <w:uiPriority w:val="0"/>
    <w:rPr>
      <w:b/>
      <w:bCs/>
    </w:rPr>
  </w:style>
  <w:style w:type="character" w:styleId="18">
    <w:name w:val="annotation reference"/>
    <w:basedOn w:val="17"/>
    <w:qFormat/>
    <w:uiPriority w:val="0"/>
    <w:rPr>
      <w:sz w:val="21"/>
      <w:szCs w:val="21"/>
    </w:rPr>
  </w:style>
  <w:style w:type="paragraph" w:customStyle="1" w:styleId="19">
    <w:name w:val="Default"/>
    <w:basedOn w:val="1"/>
    <w:qFormat/>
    <w:uiPriority w:val="0"/>
    <w:pPr>
      <w:widowControl w:val="0"/>
      <w:autoSpaceDE w:val="0"/>
      <w:autoSpaceDN w:val="0"/>
      <w:snapToGrid/>
    </w:pPr>
    <w:rPr>
      <w:rFonts w:hint="eastAsia" w:ascii="宋体" w:hAnsi="Calibri"/>
      <w:color w:val="000000"/>
      <w:szCs w:val="24"/>
    </w:rPr>
  </w:style>
  <w:style w:type="paragraph" w:customStyle="1" w:styleId="20">
    <w:name w:val="普通(网站)1"/>
    <w:basedOn w:val="1"/>
    <w:qFormat/>
    <w:uiPriority w:val="0"/>
    <w:pPr>
      <w:adjustRightInd/>
      <w:snapToGrid/>
    </w:pPr>
    <w:rPr>
      <w:rFonts w:hint="eastAsia" w:ascii="宋体" w:hAnsi="宋体"/>
      <w:szCs w:val="24"/>
    </w:rPr>
  </w:style>
  <w:style w:type="character" w:customStyle="1" w:styleId="21">
    <w:name w:val="页眉 Char"/>
    <w:basedOn w:val="17"/>
    <w:link w:val="14"/>
    <w:qFormat/>
    <w:uiPriority w:val="0"/>
    <w:rPr>
      <w:rFonts w:ascii="Tahoma" w:hAnsi="Tahoma"/>
      <w:sz w:val="18"/>
      <w:szCs w:val="18"/>
    </w:rPr>
  </w:style>
  <w:style w:type="character" w:customStyle="1" w:styleId="22">
    <w:name w:val="页脚 Char"/>
    <w:basedOn w:val="17"/>
    <w:link w:val="13"/>
    <w:qFormat/>
    <w:uiPriority w:val="99"/>
    <w:rPr>
      <w:rFonts w:ascii="Tahoma" w:hAnsi="Tahoma"/>
      <w:sz w:val="18"/>
      <w:szCs w:val="18"/>
    </w:rPr>
  </w:style>
  <w:style w:type="character" w:customStyle="1" w:styleId="23">
    <w:name w:val="批注文字 Char"/>
    <w:basedOn w:val="17"/>
    <w:link w:val="8"/>
    <w:qFormat/>
    <w:uiPriority w:val="0"/>
    <w:rPr>
      <w:rFonts w:ascii="Tahoma" w:hAnsi="Tahoma"/>
      <w:sz w:val="24"/>
      <w:szCs w:val="22"/>
    </w:rPr>
  </w:style>
  <w:style w:type="character" w:customStyle="1" w:styleId="24">
    <w:name w:val="批注主题 Char"/>
    <w:basedOn w:val="23"/>
    <w:link w:val="15"/>
    <w:qFormat/>
    <w:uiPriority w:val="0"/>
    <w:rPr>
      <w:rFonts w:ascii="Tahoma" w:hAnsi="Tahoma"/>
      <w:b/>
      <w:bCs/>
      <w:sz w:val="24"/>
      <w:szCs w:val="22"/>
    </w:rPr>
  </w:style>
  <w:style w:type="character" w:customStyle="1" w:styleId="25">
    <w:name w:val="批注框文本 Char"/>
    <w:basedOn w:val="17"/>
    <w:link w:val="12"/>
    <w:qFormat/>
    <w:uiPriority w:val="0"/>
    <w:rPr>
      <w:rFonts w:ascii="Tahoma" w:hAnsi="Tahoma"/>
      <w:sz w:val="18"/>
      <w:szCs w:val="18"/>
    </w:rPr>
  </w:style>
  <w:style w:type="character" w:customStyle="1" w:styleId="26">
    <w:name w:val="日期 Char"/>
    <w:basedOn w:val="17"/>
    <w:link w:val="11"/>
    <w:uiPriority w:val="0"/>
    <w:rPr>
      <w:rFonts w:ascii="Tahoma" w:hAnsi="Tahoma"/>
      <w:sz w:val="24"/>
      <w:szCs w:val="22"/>
    </w:rPr>
  </w:style>
  <w:style w:type="paragraph" w:customStyle="1" w:styleId="27">
    <w:name w:val="Table Paragraph"/>
    <w:basedOn w:val="1"/>
    <w:qFormat/>
    <w:uiPriority w:val="1"/>
    <w:pPr>
      <w:widowControl w:val="0"/>
      <w:autoSpaceDE w:val="0"/>
      <w:autoSpaceDN w:val="0"/>
      <w:adjustRightInd/>
      <w:snapToGrid/>
      <w:spacing w:line="240" w:lineRule="auto"/>
      <w:ind w:firstLine="0" w:firstLineChars="0"/>
      <w:jc w:val="center"/>
    </w:pPr>
    <w:rPr>
      <w:rFonts w:ascii="宋体" w:hAnsi="宋体" w:cs="宋体"/>
      <w:sz w:val="22"/>
      <w:lang w:val="zh-CN" w:bidi="zh-CN"/>
    </w:rPr>
  </w:style>
  <w:style w:type="paragraph" w:styleId="28">
    <w:name w:val="List Paragraph"/>
    <w:basedOn w:val="1"/>
    <w:unhideWhenUsed/>
    <w:uiPriority w:val="99"/>
    <w:pPr>
      <w:ind w:firstLine="420"/>
    </w:pPr>
  </w:style>
  <w:style w:type="paragraph" w:customStyle="1" w:styleId="29">
    <w:name w:val="Char Char Char Char"/>
    <w:basedOn w:val="1"/>
    <w:qFormat/>
    <w:uiPriority w:val="0"/>
    <w:pPr>
      <w:widowControl w:val="0"/>
      <w:adjustRightInd/>
      <w:snapToGrid/>
      <w:spacing w:line="240" w:lineRule="auto"/>
      <w:ind w:firstLine="0" w:firstLineChars="0"/>
      <w:jc w:val="both"/>
    </w:pPr>
    <w:rPr>
      <w:rFonts w:ascii="Times New Roman" w:hAnsi="Times New Roman"/>
      <w:kern w:val="2"/>
      <w:sz w:val="21"/>
      <w:szCs w:val="24"/>
    </w:rPr>
  </w:style>
  <w:style w:type="paragraph" w:customStyle="1" w:styleId="30">
    <w:name w:val="Char Char Char1 Char Char Char Char Char Char Char Char Char Char Char Char Char Char Char Char Char Char Char Char Char Char Char Char Char Char Char Char Char Char Char Char Char Char Char Char Char Char Char Char Char Char Char Char Char Char"/>
    <w:basedOn w:val="1"/>
    <w:qFormat/>
    <w:uiPriority w:val="0"/>
    <w:pPr>
      <w:widowControl w:val="0"/>
      <w:adjustRightInd/>
      <w:snapToGrid/>
      <w:spacing w:line="460" w:lineRule="exact"/>
      <w:ind w:firstLine="200"/>
      <w:jc w:val="both"/>
    </w:pPr>
    <w:rPr>
      <w:rFonts w:ascii="Times New Roman" w:hAnsi="Times New Roman"/>
      <w:kern w:val="2"/>
      <w:szCs w:val="24"/>
    </w:rPr>
  </w:style>
  <w:style w:type="character" w:customStyle="1" w:styleId="31">
    <w:name w:val="正文缩进 Char"/>
    <w:link w:val="5"/>
    <w:uiPriority w:val="0"/>
    <w:rPr>
      <w:rFonts w:ascii="Calibri" w:hAnsi="Calibri"/>
      <w:kern w:val="2"/>
      <w:sz w:val="21"/>
      <w:szCs w:val="22"/>
    </w:rPr>
  </w:style>
  <w:style w:type="character" w:customStyle="1" w:styleId="32">
    <w:name w:val="正文文本缩进 Char"/>
    <w:basedOn w:val="17"/>
    <w:link w:val="7"/>
    <w:qFormat/>
    <w:uiPriority w:val="0"/>
    <w:rPr>
      <w:rFonts w:ascii="Tahoma" w:hAnsi="Tahoma"/>
      <w:sz w:val="24"/>
      <w:szCs w:val="22"/>
    </w:rPr>
  </w:style>
  <w:style w:type="character" w:customStyle="1" w:styleId="33">
    <w:name w:val="正文首行缩进 2 Char"/>
    <w:basedOn w:val="32"/>
    <w:link w:val="6"/>
    <w:uiPriority w:val="0"/>
    <w:rPr>
      <w:rFonts w:ascii="Tahoma" w:hAnsi="Tahoma"/>
      <w:sz w:val="24"/>
      <w:szCs w:val="22"/>
    </w:rPr>
  </w:style>
  <w:style w:type="character" w:customStyle="1" w:styleId="34">
    <w:name w:val="纯文本 Char"/>
    <w:link w:val="10"/>
    <w:qFormat/>
    <w:uiPriority w:val="0"/>
    <w:rPr>
      <w:rFonts w:ascii="宋体"/>
      <w:kern w:val="2"/>
      <w:sz w:val="21"/>
    </w:rPr>
  </w:style>
  <w:style w:type="character" w:customStyle="1" w:styleId="35">
    <w:name w:val="纯文本 Char1"/>
    <w:basedOn w:val="17"/>
    <w:uiPriority w:val="0"/>
    <w:rPr>
      <w:rFonts w:ascii="宋体" w:hAnsi="Courier New" w:cs="Courier New"/>
      <w:sz w:val="21"/>
      <w:szCs w:val="21"/>
    </w:rPr>
  </w:style>
  <w:style w:type="character" w:customStyle="1" w:styleId="36">
    <w:name w:val="正文文本 Char"/>
    <w:basedOn w:val="17"/>
    <w:link w:val="9"/>
    <w:semiHidden/>
    <w:uiPriority w:val="0"/>
    <w:rPr>
      <w:rFonts w:ascii="Tahoma" w:hAnsi="Tahoma"/>
      <w:sz w:val="24"/>
      <w:szCs w:val="22"/>
    </w:rPr>
  </w:style>
  <w:style w:type="character" w:customStyle="1" w:styleId="37">
    <w:name w:val="fontstyle01"/>
    <w:basedOn w:val="17"/>
    <w:qFormat/>
    <w:uiPriority w:val="0"/>
    <w:rPr>
      <w:rFonts w:hint="default" w:ascii="TimesNewRomanPSMT" w:hAnsi="TimesNewRomanPSMT"/>
      <w:color w:val="000000"/>
      <w:sz w:val="24"/>
      <w:szCs w:val="24"/>
    </w:rPr>
  </w:style>
  <w:style w:type="character" w:customStyle="1" w:styleId="38">
    <w:name w:val="fontstyle21"/>
    <w:basedOn w:val="1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6442D7-7634-45F2-B191-2EA39AB392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440</Words>
  <Characters>2511</Characters>
  <Lines>20</Lines>
  <Paragraphs>5</Paragraphs>
  <TotalTime>2</TotalTime>
  <ScaleCrop>false</ScaleCrop>
  <LinksUpToDate>false</LinksUpToDate>
  <CharactersWithSpaces>2946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2022-04-18T13:02:00Z</dcterms:created>
  <dc:creator>墨尔-本</dc:creator>
  <cp:lastModifiedBy>唐伟</cp:lastModifiedBy>
  <dcterms:modified xsi:type="dcterms:W3CDTF">2022-04-20T03:09:58Z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4C04CEC5898E404CA6AC699A1337F3C0</vt:lpwstr>
  </property>
</Properties>
</file>